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7F7F7"/>
        <w:tblCellMar>
          <w:left w:w="0" w:type="dxa"/>
          <w:right w:w="0" w:type="dxa"/>
        </w:tblCellMar>
        <w:tblLook w:val="04A0" w:firstRow="1" w:lastRow="0" w:firstColumn="1" w:lastColumn="0" w:noHBand="0" w:noVBand="1"/>
      </w:tblPr>
      <w:tblGrid>
        <w:gridCol w:w="10435"/>
      </w:tblGrid>
      <w:tr w:rsidR="00572C94" w:rsidRPr="009B7225" w:rsidTr="00572C94">
        <w:trPr>
          <w:tblCellSpacing w:w="0" w:type="dxa"/>
        </w:trPr>
        <w:tc>
          <w:tcPr>
            <w:tcW w:w="0" w:type="auto"/>
            <w:shd w:val="clear" w:color="auto" w:fill="F7F7F7"/>
            <w:vAlign w:val="center"/>
            <w:hideMark/>
          </w:tcPr>
          <w:p w:rsidR="00572C94" w:rsidRPr="009B7225" w:rsidRDefault="00572C94" w:rsidP="00572C94">
            <w:pPr>
              <w:pBdr>
                <w:top w:val="single" w:sz="24" w:space="11" w:color="444444"/>
              </w:pBdr>
              <w:spacing w:before="150" w:after="0" w:line="270" w:lineRule="atLeast"/>
              <w:outlineLvl w:val="0"/>
              <w:rPr>
                <w:rFonts w:ascii="Times New Roman" w:eastAsia="Times New Roman" w:hAnsi="Times New Roman" w:cs="Times New Roman"/>
                <w:b/>
                <w:bCs/>
                <w:color w:val="356092"/>
                <w:kern w:val="36"/>
                <w:sz w:val="20"/>
                <w:szCs w:val="20"/>
                <w:lang w:val="uk-UA" w:eastAsia="ru-RU"/>
              </w:rPr>
            </w:pPr>
            <w:bookmarkStart w:id="0" w:name="_GoBack"/>
            <w:r w:rsidRPr="009B7225">
              <w:rPr>
                <w:rFonts w:ascii="Times New Roman" w:eastAsia="Times New Roman" w:hAnsi="Times New Roman" w:cs="Times New Roman"/>
                <w:b/>
                <w:bCs/>
                <w:color w:val="356092"/>
                <w:kern w:val="36"/>
                <w:sz w:val="20"/>
                <w:szCs w:val="20"/>
                <w:lang w:val="uk-UA" w:eastAsia="ru-RU"/>
              </w:rPr>
              <w:t>Забезпечення потерпілих внаслідок нещасного випадку на виробництві та професійного захворювання санаторно-курортним лікуванням</w:t>
            </w:r>
          </w:p>
        </w:tc>
      </w:tr>
      <w:tr w:rsidR="00572C94" w:rsidRPr="009B7225" w:rsidTr="00572C94">
        <w:trPr>
          <w:tblCellSpacing w:w="0" w:type="dxa"/>
        </w:trPr>
        <w:tc>
          <w:tcPr>
            <w:tcW w:w="0" w:type="auto"/>
            <w:shd w:val="clear" w:color="auto" w:fill="F7F7F7"/>
            <w:tcMar>
              <w:top w:w="75" w:type="dxa"/>
              <w:left w:w="0" w:type="dxa"/>
              <w:bottom w:w="0" w:type="dxa"/>
              <w:right w:w="0" w:type="dxa"/>
            </w:tcMar>
            <w:vAlign w:val="center"/>
            <w:hideMark/>
          </w:tcPr>
          <w:p w:rsidR="00572C94" w:rsidRPr="009B7225" w:rsidRDefault="00572C94" w:rsidP="00572C94">
            <w:pPr>
              <w:spacing w:after="0" w:line="240" w:lineRule="auto"/>
              <w:rPr>
                <w:rFonts w:ascii="Times New Roman" w:eastAsia="Times New Roman" w:hAnsi="Times New Roman" w:cs="Times New Roman"/>
                <w:color w:val="97999C"/>
                <w:sz w:val="20"/>
                <w:szCs w:val="20"/>
                <w:lang w:val="uk-UA" w:eastAsia="ru-RU"/>
              </w:rPr>
            </w:pPr>
          </w:p>
        </w:tc>
      </w:tr>
      <w:tr w:rsidR="00572C94" w:rsidRPr="009B7225" w:rsidTr="00572C94">
        <w:trPr>
          <w:tblCellSpacing w:w="0" w:type="dxa"/>
        </w:trPr>
        <w:tc>
          <w:tcPr>
            <w:tcW w:w="0" w:type="auto"/>
            <w:shd w:val="clear" w:color="auto" w:fill="F7F7F7"/>
            <w:vAlign w:val="center"/>
            <w:hideMark/>
          </w:tcPr>
          <w:p w:rsidR="00572C94" w:rsidRPr="009B7225" w:rsidRDefault="00572C94" w:rsidP="00572C94">
            <w:pPr>
              <w:spacing w:after="0" w:line="225" w:lineRule="atLeast"/>
              <w:ind w:firstLine="709"/>
              <w:jc w:val="both"/>
              <w:rPr>
                <w:rFonts w:ascii="Times New Roman" w:eastAsia="Times New Roman" w:hAnsi="Times New Roman" w:cs="Times New Roman"/>
                <w:color w:val="676767"/>
                <w:sz w:val="20"/>
                <w:szCs w:val="20"/>
                <w:lang w:val="uk-UA" w:eastAsia="ru-RU"/>
              </w:rPr>
            </w:pPr>
            <w:r w:rsidRPr="009B7225">
              <w:rPr>
                <w:rFonts w:ascii="Times New Roman" w:eastAsia="Times New Roman" w:hAnsi="Times New Roman" w:cs="Times New Roman"/>
                <w:color w:val="000000"/>
                <w:sz w:val="20"/>
                <w:szCs w:val="20"/>
                <w:lang w:val="uk-UA" w:eastAsia="ru-RU"/>
              </w:rPr>
              <w:t>На виконання вимог Закону України «Про загальнообов’язкове державне соціальне страхування» від 23.09.1999 №1105-ХІV та «Порядку відшкодування витрат за надані послуги санаторно-курортним закладам за вибором потерпілих внаслідок нещасного випадку на виробництві та професійного захворювання», затвердженого постановою правління Фонду соціального страхування України від 24 травня 2017 року №33 із змінами та доповненнями, відділення управління виконавчої дирекції Фонду соціального страхування України в Дніпропетровській області організовують забезпечення санаторно-курортним лікуванням потерпілих внаслідок нещасного випадку на виробництві та професійного захворювання (далі – потерпілі на виробництві).</w:t>
            </w:r>
          </w:p>
          <w:p w:rsidR="00572C94" w:rsidRPr="009B7225" w:rsidRDefault="00572C94" w:rsidP="00572C94">
            <w:pPr>
              <w:spacing w:after="0" w:line="225" w:lineRule="atLeast"/>
              <w:ind w:firstLine="709"/>
              <w:jc w:val="both"/>
              <w:rPr>
                <w:rFonts w:ascii="Times New Roman" w:eastAsia="Times New Roman" w:hAnsi="Times New Roman" w:cs="Times New Roman"/>
                <w:color w:val="676767"/>
                <w:sz w:val="20"/>
                <w:szCs w:val="20"/>
                <w:lang w:val="uk-UA" w:eastAsia="ru-RU"/>
              </w:rPr>
            </w:pPr>
            <w:r w:rsidRPr="009B7225">
              <w:rPr>
                <w:rFonts w:ascii="Times New Roman" w:eastAsia="Times New Roman" w:hAnsi="Times New Roman" w:cs="Times New Roman"/>
                <w:color w:val="000000"/>
                <w:sz w:val="20"/>
                <w:szCs w:val="20"/>
                <w:lang w:val="uk-UA" w:eastAsia="ru-RU"/>
              </w:rPr>
              <w:t>Потерпілі забезпечуються санаторно-курортним лікуванням за прямими наслідками виробничої травми або професійного захворювання, згідно з потребою, визначеною висновками медико-соціальної експертної комісії та довідок для одержання путівки на санаторно-курортне лікування за </w:t>
            </w:r>
            <w:hyperlink r:id="rId5" w:anchor="n3" w:tgtFrame="_blank" w:history="1">
              <w:r w:rsidRPr="009B7225">
                <w:rPr>
                  <w:rFonts w:ascii="Times New Roman" w:eastAsia="Times New Roman" w:hAnsi="Times New Roman" w:cs="Times New Roman"/>
                  <w:color w:val="000000"/>
                  <w:sz w:val="20"/>
                  <w:szCs w:val="20"/>
                  <w:lang w:val="uk-UA" w:eastAsia="ru-RU"/>
                </w:rPr>
                <w:t>формою</w:t>
              </w:r>
              <w:r w:rsidR="002A712E" w:rsidRPr="009B7225">
                <w:rPr>
                  <w:rFonts w:ascii="Times New Roman" w:eastAsia="Times New Roman" w:hAnsi="Times New Roman" w:cs="Times New Roman"/>
                  <w:color w:val="000000"/>
                  <w:sz w:val="20"/>
                  <w:szCs w:val="20"/>
                  <w:lang w:val="uk-UA" w:eastAsia="ru-RU"/>
                </w:rPr>
                <w:t xml:space="preserve"> </w:t>
              </w:r>
              <w:r w:rsidRPr="009B7225">
                <w:rPr>
                  <w:rFonts w:ascii="Times New Roman" w:eastAsia="Times New Roman" w:hAnsi="Times New Roman" w:cs="Times New Roman"/>
                  <w:color w:val="000000"/>
                  <w:sz w:val="20"/>
                  <w:szCs w:val="20"/>
                  <w:lang w:val="uk-UA" w:eastAsia="ru-RU"/>
                </w:rPr>
                <w:t>№ 070/о</w:t>
              </w:r>
            </w:hyperlink>
            <w:r w:rsidRPr="009B7225">
              <w:rPr>
                <w:rFonts w:ascii="Times New Roman" w:eastAsia="Times New Roman" w:hAnsi="Times New Roman" w:cs="Times New Roman"/>
                <w:color w:val="000000"/>
                <w:sz w:val="20"/>
                <w:szCs w:val="20"/>
                <w:lang w:val="uk-UA" w:eastAsia="ru-RU"/>
              </w:rPr>
              <w:t>.</w:t>
            </w:r>
          </w:p>
          <w:p w:rsidR="00572C94" w:rsidRPr="009B7225" w:rsidRDefault="00572C94" w:rsidP="00572C94">
            <w:pPr>
              <w:spacing w:after="0" w:line="225" w:lineRule="atLeast"/>
              <w:ind w:firstLine="709"/>
              <w:jc w:val="both"/>
              <w:rPr>
                <w:rFonts w:ascii="Times New Roman" w:eastAsia="Times New Roman" w:hAnsi="Times New Roman" w:cs="Times New Roman"/>
                <w:color w:val="676767"/>
                <w:sz w:val="20"/>
                <w:szCs w:val="20"/>
                <w:lang w:val="uk-UA" w:eastAsia="ru-RU"/>
              </w:rPr>
            </w:pPr>
            <w:r w:rsidRPr="009B7225">
              <w:rPr>
                <w:rFonts w:ascii="Times New Roman" w:eastAsia="Times New Roman" w:hAnsi="Times New Roman" w:cs="Times New Roman"/>
                <w:b/>
                <w:bCs/>
                <w:color w:val="000000"/>
                <w:sz w:val="20"/>
                <w:szCs w:val="20"/>
                <w:lang w:val="uk-UA" w:eastAsia="ru-RU"/>
              </w:rPr>
              <w:t xml:space="preserve">При цьому потерпілий особисто обирає санаторно-курортний заклад, який зазначає у відповідній заяві до органу </w:t>
            </w:r>
            <w:proofErr w:type="spellStart"/>
            <w:r w:rsidRPr="009B7225">
              <w:rPr>
                <w:rFonts w:ascii="Times New Roman" w:eastAsia="Times New Roman" w:hAnsi="Times New Roman" w:cs="Times New Roman"/>
                <w:b/>
                <w:bCs/>
                <w:color w:val="000000"/>
                <w:sz w:val="20"/>
                <w:szCs w:val="20"/>
                <w:lang w:val="uk-UA" w:eastAsia="ru-RU"/>
              </w:rPr>
              <w:t>Фонду.</w:t>
            </w:r>
            <w:r w:rsidRPr="009B7225">
              <w:rPr>
                <w:rFonts w:ascii="Times New Roman" w:eastAsia="Times New Roman" w:hAnsi="Times New Roman" w:cs="Times New Roman"/>
                <w:color w:val="000000"/>
                <w:sz w:val="20"/>
                <w:szCs w:val="20"/>
                <w:lang w:val="uk-UA" w:eastAsia="ru-RU"/>
              </w:rPr>
              <w:t>Після</w:t>
            </w:r>
            <w:proofErr w:type="spellEnd"/>
            <w:r w:rsidRPr="009B7225">
              <w:rPr>
                <w:rFonts w:ascii="Times New Roman" w:eastAsia="Times New Roman" w:hAnsi="Times New Roman" w:cs="Times New Roman"/>
                <w:color w:val="000000"/>
                <w:sz w:val="20"/>
                <w:szCs w:val="20"/>
                <w:lang w:val="uk-UA" w:eastAsia="ru-RU"/>
              </w:rPr>
              <w:t xml:space="preserve"> погодження органом Фонду з санаторно-курортним закладом прийняття потерпілого, укладається тристоронній договір між органом Фонду, потерпілим та санаторно-курортним закладом.</w:t>
            </w:r>
          </w:p>
          <w:p w:rsidR="00572C94" w:rsidRPr="009B7225" w:rsidRDefault="00572C94" w:rsidP="00572C94">
            <w:pPr>
              <w:spacing w:after="0" w:line="225" w:lineRule="atLeast"/>
              <w:ind w:firstLine="709"/>
              <w:jc w:val="both"/>
              <w:rPr>
                <w:rFonts w:ascii="Times New Roman" w:eastAsia="Times New Roman" w:hAnsi="Times New Roman" w:cs="Times New Roman"/>
                <w:color w:val="676767"/>
                <w:sz w:val="20"/>
                <w:szCs w:val="20"/>
                <w:lang w:val="uk-UA" w:eastAsia="ru-RU"/>
              </w:rPr>
            </w:pPr>
            <w:r w:rsidRPr="009B7225">
              <w:rPr>
                <w:rFonts w:ascii="Times New Roman" w:eastAsia="Times New Roman" w:hAnsi="Times New Roman" w:cs="Times New Roman"/>
                <w:color w:val="000000"/>
                <w:sz w:val="20"/>
                <w:szCs w:val="20"/>
                <w:lang w:val="uk-UA" w:eastAsia="ru-RU"/>
              </w:rPr>
              <w:t>Протягом 2019 року санаторно-курортним лікуванням забезпечено</w:t>
            </w:r>
            <w:r w:rsidR="002A712E" w:rsidRPr="009B7225">
              <w:rPr>
                <w:rFonts w:ascii="Times New Roman" w:eastAsia="Times New Roman" w:hAnsi="Times New Roman" w:cs="Times New Roman"/>
                <w:color w:val="000000"/>
                <w:sz w:val="20"/>
                <w:szCs w:val="20"/>
                <w:lang w:val="uk-UA" w:eastAsia="ru-RU"/>
              </w:rPr>
              <w:t xml:space="preserve"> </w:t>
            </w:r>
            <w:r w:rsidRPr="009B7225">
              <w:rPr>
                <w:rFonts w:ascii="Times New Roman" w:eastAsia="Times New Roman" w:hAnsi="Times New Roman" w:cs="Times New Roman"/>
                <w:color w:val="000000"/>
                <w:sz w:val="20"/>
                <w:szCs w:val="20"/>
                <w:lang w:val="uk-UA" w:eastAsia="ru-RU"/>
              </w:rPr>
              <w:t>2624 потерпілих на виробництві, що на 7 потерпілих більше ніж у минулому році.</w:t>
            </w:r>
          </w:p>
          <w:p w:rsidR="00572C94" w:rsidRPr="009B7225" w:rsidRDefault="00572C94" w:rsidP="00572C94">
            <w:pPr>
              <w:spacing w:after="0" w:line="225" w:lineRule="atLeast"/>
              <w:ind w:firstLine="709"/>
              <w:jc w:val="both"/>
              <w:rPr>
                <w:rFonts w:ascii="Times New Roman" w:eastAsia="Times New Roman" w:hAnsi="Times New Roman" w:cs="Times New Roman"/>
                <w:color w:val="676767"/>
                <w:sz w:val="20"/>
                <w:szCs w:val="20"/>
                <w:lang w:val="uk-UA" w:eastAsia="ru-RU"/>
              </w:rPr>
            </w:pPr>
            <w:r w:rsidRPr="009B7225">
              <w:rPr>
                <w:rFonts w:ascii="Times New Roman" w:eastAsia="Times New Roman" w:hAnsi="Times New Roman" w:cs="Times New Roman"/>
                <w:color w:val="000000"/>
                <w:sz w:val="20"/>
                <w:szCs w:val="20"/>
                <w:lang w:val="uk-UA" w:eastAsia="ru-RU"/>
              </w:rPr>
              <w:t>В Дніпропетровській області робота по забезпеченню потерпілих на виробництві санаторно-курортним лікуванням безперервно продовжується і з початку 2020 року. Так, на теперішній час відділеннями управління вже укладені відповідні тристоронні договори на санаторно-курортне лікування</w:t>
            </w:r>
            <w:r w:rsidR="002A712E" w:rsidRPr="009B7225">
              <w:rPr>
                <w:rFonts w:ascii="Times New Roman" w:eastAsia="Times New Roman" w:hAnsi="Times New Roman" w:cs="Times New Roman"/>
                <w:color w:val="000000"/>
                <w:sz w:val="20"/>
                <w:szCs w:val="20"/>
                <w:lang w:val="uk-UA" w:eastAsia="ru-RU"/>
              </w:rPr>
              <w:t xml:space="preserve"> </w:t>
            </w:r>
            <w:r w:rsidRPr="009B7225">
              <w:rPr>
                <w:rFonts w:ascii="Times New Roman" w:eastAsia="Times New Roman" w:hAnsi="Times New Roman" w:cs="Times New Roman"/>
                <w:color w:val="000000"/>
                <w:sz w:val="20"/>
                <w:szCs w:val="20"/>
                <w:lang w:val="uk-UA" w:eastAsia="ru-RU"/>
              </w:rPr>
              <w:t>274 потерпілих на виробництві з санаторно–курортними закладами за їх вибором</w:t>
            </w:r>
            <w:r w:rsidR="002A712E" w:rsidRPr="009B7225">
              <w:rPr>
                <w:rFonts w:ascii="Times New Roman" w:eastAsia="Times New Roman" w:hAnsi="Times New Roman" w:cs="Times New Roman"/>
                <w:color w:val="000000"/>
                <w:sz w:val="20"/>
                <w:szCs w:val="20"/>
                <w:lang w:val="uk-UA" w:eastAsia="ru-RU"/>
              </w:rPr>
              <w:t xml:space="preserve"> ( в т.ч. по Криворізькому відділенню 98 договорів)</w:t>
            </w:r>
            <w:r w:rsidRPr="009B7225">
              <w:rPr>
                <w:rFonts w:ascii="Times New Roman" w:eastAsia="Times New Roman" w:hAnsi="Times New Roman" w:cs="Times New Roman"/>
                <w:color w:val="000000"/>
                <w:sz w:val="20"/>
                <w:szCs w:val="20"/>
                <w:lang w:val="uk-UA" w:eastAsia="ru-RU"/>
              </w:rPr>
              <w:t>.</w:t>
            </w:r>
          </w:p>
          <w:p w:rsidR="00572C94" w:rsidRPr="009B7225" w:rsidRDefault="00572C94" w:rsidP="00572C94">
            <w:pPr>
              <w:spacing w:after="150" w:line="225" w:lineRule="atLeast"/>
              <w:ind w:firstLine="709"/>
              <w:jc w:val="both"/>
              <w:rPr>
                <w:rFonts w:ascii="Times New Roman" w:eastAsia="Times New Roman" w:hAnsi="Times New Roman" w:cs="Times New Roman"/>
                <w:color w:val="676767"/>
                <w:sz w:val="20"/>
                <w:szCs w:val="20"/>
                <w:lang w:val="uk-UA" w:eastAsia="ru-RU"/>
              </w:rPr>
            </w:pPr>
            <w:r w:rsidRPr="009B7225">
              <w:rPr>
                <w:rFonts w:ascii="Times New Roman" w:eastAsia="Times New Roman" w:hAnsi="Times New Roman" w:cs="Times New Roman"/>
                <w:color w:val="000000"/>
                <w:sz w:val="20"/>
                <w:szCs w:val="20"/>
                <w:lang w:val="uk-UA" w:eastAsia="ru-RU"/>
              </w:rPr>
              <w:t>Зазначена робота знаходиться на постійному контролі управління виконавчої дирекції Фонду соціального страхування України в Дніпропетровській області.</w:t>
            </w:r>
          </w:p>
        </w:tc>
      </w:tr>
    </w:tbl>
    <w:p w:rsidR="004E691F" w:rsidRPr="009B7225" w:rsidRDefault="004E691F">
      <w:pPr>
        <w:rPr>
          <w:rFonts w:ascii="Times New Roman" w:hAnsi="Times New Roman" w:cs="Times New Roman"/>
          <w:sz w:val="20"/>
          <w:szCs w:val="20"/>
          <w:lang w:val="uk-UA"/>
        </w:rPr>
      </w:pPr>
    </w:p>
    <w:tbl>
      <w:tblPr>
        <w:tblW w:w="0" w:type="auto"/>
        <w:tblCellSpacing w:w="0" w:type="dxa"/>
        <w:shd w:val="clear" w:color="auto" w:fill="F7F7F7"/>
        <w:tblCellMar>
          <w:left w:w="0" w:type="dxa"/>
          <w:right w:w="0" w:type="dxa"/>
        </w:tblCellMar>
        <w:tblLook w:val="04A0" w:firstRow="1" w:lastRow="0" w:firstColumn="1" w:lastColumn="0" w:noHBand="0" w:noVBand="1"/>
      </w:tblPr>
      <w:tblGrid>
        <w:gridCol w:w="10435"/>
      </w:tblGrid>
      <w:tr w:rsidR="00572C94" w:rsidRPr="009B7225" w:rsidTr="00572C94">
        <w:trPr>
          <w:tblCellSpacing w:w="0" w:type="dxa"/>
        </w:trPr>
        <w:tc>
          <w:tcPr>
            <w:tcW w:w="0" w:type="auto"/>
            <w:shd w:val="clear" w:color="auto" w:fill="F7F7F7"/>
            <w:vAlign w:val="center"/>
            <w:hideMark/>
          </w:tcPr>
          <w:p w:rsidR="00572C94" w:rsidRPr="009B7225" w:rsidRDefault="00572C94" w:rsidP="00572C94">
            <w:pPr>
              <w:pBdr>
                <w:top w:val="single" w:sz="24" w:space="11" w:color="444444"/>
              </w:pBdr>
              <w:spacing w:before="150" w:after="0" w:line="270" w:lineRule="atLeast"/>
              <w:outlineLvl w:val="0"/>
              <w:rPr>
                <w:rFonts w:ascii="Times New Roman" w:eastAsia="Times New Roman" w:hAnsi="Times New Roman" w:cs="Times New Roman"/>
                <w:b/>
                <w:bCs/>
                <w:color w:val="356092"/>
                <w:kern w:val="36"/>
                <w:sz w:val="20"/>
                <w:szCs w:val="20"/>
                <w:lang w:val="uk-UA" w:eastAsia="ru-RU"/>
              </w:rPr>
            </w:pPr>
            <w:r w:rsidRPr="009B7225">
              <w:rPr>
                <w:rFonts w:ascii="Times New Roman" w:eastAsia="Times New Roman" w:hAnsi="Times New Roman" w:cs="Times New Roman"/>
                <w:b/>
                <w:bCs/>
                <w:color w:val="356092"/>
                <w:kern w:val="36"/>
                <w:sz w:val="20"/>
                <w:szCs w:val="20"/>
                <w:lang w:val="uk-UA" w:eastAsia="ru-RU"/>
              </w:rPr>
              <w:t>Олена Дума: забезпечуємо реалізацію конституційних прав усіх працюючих</w:t>
            </w:r>
          </w:p>
        </w:tc>
      </w:tr>
      <w:tr w:rsidR="00572C94" w:rsidRPr="009B7225" w:rsidTr="00572C94">
        <w:trPr>
          <w:tblCellSpacing w:w="0" w:type="dxa"/>
        </w:trPr>
        <w:tc>
          <w:tcPr>
            <w:tcW w:w="0" w:type="auto"/>
            <w:shd w:val="clear" w:color="auto" w:fill="F7F7F7"/>
            <w:tcMar>
              <w:top w:w="75" w:type="dxa"/>
              <w:left w:w="0" w:type="dxa"/>
              <w:bottom w:w="0" w:type="dxa"/>
              <w:right w:w="0" w:type="dxa"/>
            </w:tcMar>
            <w:vAlign w:val="center"/>
            <w:hideMark/>
          </w:tcPr>
          <w:p w:rsidR="00572C94" w:rsidRPr="009B7225" w:rsidRDefault="00572C94" w:rsidP="00572C94">
            <w:pPr>
              <w:spacing w:after="0" w:line="240" w:lineRule="auto"/>
              <w:rPr>
                <w:rFonts w:ascii="Times New Roman" w:eastAsia="Times New Roman" w:hAnsi="Times New Roman" w:cs="Times New Roman"/>
                <w:color w:val="97999C"/>
                <w:sz w:val="20"/>
                <w:szCs w:val="20"/>
                <w:lang w:val="uk-UA" w:eastAsia="ru-RU"/>
              </w:rPr>
            </w:pPr>
          </w:p>
        </w:tc>
      </w:tr>
      <w:tr w:rsidR="00572C94" w:rsidRPr="009B7225" w:rsidTr="00572C94">
        <w:trPr>
          <w:tblCellSpacing w:w="0" w:type="dxa"/>
        </w:trPr>
        <w:tc>
          <w:tcPr>
            <w:tcW w:w="0" w:type="auto"/>
            <w:shd w:val="clear" w:color="auto" w:fill="F7F7F7"/>
            <w:vAlign w:val="center"/>
            <w:hideMark/>
          </w:tcPr>
          <w:p w:rsidR="00572C94" w:rsidRPr="009B7225" w:rsidRDefault="00572C94" w:rsidP="00572C94">
            <w:pPr>
              <w:spacing w:after="240" w:line="225" w:lineRule="atLeast"/>
              <w:ind w:firstLine="851"/>
              <w:jc w:val="both"/>
              <w:rPr>
                <w:rFonts w:ascii="Times New Roman" w:eastAsia="Times New Roman" w:hAnsi="Times New Roman" w:cs="Times New Roman"/>
                <w:color w:val="676767"/>
                <w:sz w:val="20"/>
                <w:szCs w:val="20"/>
                <w:lang w:val="uk-UA" w:eastAsia="ru-RU"/>
              </w:rPr>
            </w:pPr>
            <w:r w:rsidRPr="009B7225">
              <w:rPr>
                <w:rFonts w:ascii="Times New Roman" w:eastAsia="Times New Roman" w:hAnsi="Times New Roman" w:cs="Times New Roman"/>
                <w:color w:val="000000"/>
                <w:sz w:val="20"/>
                <w:szCs w:val="20"/>
                <w:lang w:val="uk-UA" w:eastAsia="ru-RU"/>
              </w:rPr>
              <w:t>У разі стійкої втрати професійної працездатності через нещасні випадки на виробництві або професійні захворювання, Фондом соціального страхування України, зокрема, здійснюється фінансування одноразових допомог. Розмір цих виплат залежить від ступеня втрати професійної працездатності та прожиткового мінімуму для працездатних осіб, встановленого законом на день настання права потерпілого на страхову виплату.</w:t>
            </w:r>
          </w:p>
          <w:p w:rsidR="00572C94" w:rsidRPr="009B7225" w:rsidRDefault="00572C94" w:rsidP="00572C94">
            <w:pPr>
              <w:spacing w:after="240" w:line="225" w:lineRule="atLeast"/>
              <w:ind w:firstLine="851"/>
              <w:jc w:val="both"/>
              <w:rPr>
                <w:rFonts w:ascii="Times New Roman" w:eastAsia="Times New Roman" w:hAnsi="Times New Roman" w:cs="Times New Roman"/>
                <w:color w:val="676767"/>
                <w:sz w:val="20"/>
                <w:szCs w:val="20"/>
                <w:lang w:val="uk-UA" w:eastAsia="ru-RU"/>
              </w:rPr>
            </w:pPr>
            <w:r w:rsidRPr="009B7225">
              <w:rPr>
                <w:rFonts w:ascii="Times New Roman" w:eastAsia="Times New Roman" w:hAnsi="Times New Roman" w:cs="Times New Roman"/>
                <w:color w:val="000000"/>
                <w:sz w:val="20"/>
                <w:szCs w:val="20"/>
                <w:lang w:val="uk-UA" w:eastAsia="ru-RU"/>
              </w:rPr>
              <w:t>«Забезпечити реалізацію конституційних прав усіх працюючих на належні допомоги, страхові виплати та послуги за загальнообов’язковим державним соціальним страхуванням є моїм головним завданням як директора. Сьогодні ми працюємо над стабілізацією та збільшенням ефективності системи Фонду. Зокрема, один із пріоритетів – страхові виплати особам, які отримали травми або професійні захворювання на виробництві. Щомісяця ми фінансуємо для них виплати, які повністю або частково компенсують втрачений заробіток, здійснюємо надання одноразових допомог, медичних і соціальних послуг», – говорить директор виконавчої дирекції Фонду соціального страхування України Олена Дума.</w:t>
            </w:r>
          </w:p>
          <w:p w:rsidR="00572C94" w:rsidRPr="009B7225" w:rsidRDefault="00572C94" w:rsidP="00572C94">
            <w:pPr>
              <w:spacing w:after="240" w:line="225" w:lineRule="atLeast"/>
              <w:ind w:firstLine="851"/>
              <w:jc w:val="both"/>
              <w:rPr>
                <w:rFonts w:ascii="Times New Roman" w:eastAsia="Times New Roman" w:hAnsi="Times New Roman" w:cs="Times New Roman"/>
                <w:color w:val="676767"/>
                <w:sz w:val="20"/>
                <w:szCs w:val="20"/>
                <w:lang w:val="uk-UA" w:eastAsia="ru-RU"/>
              </w:rPr>
            </w:pPr>
            <w:r w:rsidRPr="009B7225">
              <w:rPr>
                <w:rFonts w:ascii="Times New Roman" w:eastAsia="Times New Roman" w:hAnsi="Times New Roman" w:cs="Times New Roman"/>
                <w:color w:val="000000"/>
                <w:sz w:val="20"/>
                <w:szCs w:val="20"/>
                <w:lang w:val="uk-UA" w:eastAsia="ru-RU"/>
              </w:rPr>
              <w:t>Зазначимо, право на отримання потерпілим одноразової допомоги настає з дня встановлення МСЕК стійкої втрати професійної працездатності внаслідок нещасного випадку на виробництві або професійного захворювання. Розмір виплати залежить від ступеня втрати працездатності, виходячи з 17 розмірів прожиткового мінімуму для працездатних осіб, встановленого законом на день настання права потерпілого на страхову виплату. Максимальний розмір одноразової допомоги в разі 100% стійкої втрати працездатності станом на 01.01.2020 становить 35 734 гривень.</w:t>
            </w:r>
          </w:p>
          <w:p w:rsidR="00572C94" w:rsidRPr="009B7225" w:rsidRDefault="00572C94" w:rsidP="00572C94">
            <w:pPr>
              <w:spacing w:after="240" w:line="225" w:lineRule="atLeast"/>
              <w:ind w:firstLine="851"/>
              <w:jc w:val="both"/>
              <w:rPr>
                <w:rFonts w:ascii="Times New Roman" w:eastAsia="Times New Roman" w:hAnsi="Times New Roman" w:cs="Times New Roman"/>
                <w:color w:val="676767"/>
                <w:sz w:val="20"/>
                <w:szCs w:val="20"/>
                <w:lang w:val="uk-UA" w:eastAsia="ru-RU"/>
              </w:rPr>
            </w:pPr>
            <w:r w:rsidRPr="009B7225">
              <w:rPr>
                <w:rFonts w:ascii="Times New Roman" w:eastAsia="Times New Roman" w:hAnsi="Times New Roman" w:cs="Times New Roman"/>
                <w:color w:val="000000"/>
                <w:sz w:val="20"/>
                <w:szCs w:val="20"/>
                <w:lang w:val="uk-UA" w:eastAsia="ru-RU"/>
              </w:rPr>
              <w:t>Одноразова допомога сім’ї потерпілого виплачується у сумі, що дорівнює 100 розмірам прожиткового мінімуму для працездатних осіб, встановленого законом на день настання права на страхову виплату. На сьогодні вона складає 210,2 тис. гривень.</w:t>
            </w:r>
          </w:p>
          <w:p w:rsidR="00572C94" w:rsidRPr="009B7225" w:rsidRDefault="00572C94" w:rsidP="00572C94">
            <w:pPr>
              <w:spacing w:after="0" w:line="225" w:lineRule="atLeast"/>
              <w:ind w:firstLine="851"/>
              <w:jc w:val="both"/>
              <w:rPr>
                <w:rFonts w:ascii="Times New Roman" w:eastAsia="Times New Roman" w:hAnsi="Times New Roman" w:cs="Times New Roman"/>
                <w:color w:val="676767"/>
                <w:sz w:val="20"/>
                <w:szCs w:val="20"/>
                <w:lang w:val="uk-UA" w:eastAsia="ru-RU"/>
              </w:rPr>
            </w:pPr>
            <w:r w:rsidRPr="009B7225">
              <w:rPr>
                <w:rFonts w:ascii="Times New Roman" w:eastAsia="Times New Roman" w:hAnsi="Times New Roman" w:cs="Times New Roman"/>
                <w:color w:val="000000"/>
                <w:sz w:val="20"/>
                <w:szCs w:val="20"/>
                <w:lang w:val="uk-UA" w:eastAsia="ru-RU"/>
              </w:rPr>
              <w:t>Одноразова допомога кожній особі, яка перебувала на утриманні померлого, а також на його дитину, яка народилася протягом не більш ніж десятимісячного строку після смерті потерпілого, виплачується у сумі, що дорівнює 20 розмірам прожиткового мінімуму для працездатних осіб, встановленого законом на день настання права на страхову виплату, що на сьогодні дорівнює 42,04 тис. гривень.</w:t>
            </w:r>
          </w:p>
          <w:p w:rsidR="00572C94" w:rsidRPr="009B7225" w:rsidRDefault="002A712E" w:rsidP="00572C94">
            <w:pPr>
              <w:spacing w:after="0" w:line="225" w:lineRule="atLeast"/>
              <w:ind w:firstLine="851"/>
              <w:jc w:val="both"/>
              <w:rPr>
                <w:rFonts w:ascii="Times New Roman" w:eastAsia="Times New Roman" w:hAnsi="Times New Roman" w:cs="Times New Roman"/>
                <w:color w:val="676767"/>
                <w:sz w:val="20"/>
                <w:szCs w:val="20"/>
                <w:lang w:val="uk-UA" w:eastAsia="ru-RU"/>
              </w:rPr>
            </w:pPr>
            <w:r w:rsidRPr="009B7225">
              <w:rPr>
                <w:rFonts w:ascii="Times New Roman" w:eastAsia="Times New Roman" w:hAnsi="Times New Roman" w:cs="Times New Roman"/>
                <w:color w:val="000000"/>
                <w:sz w:val="20"/>
                <w:szCs w:val="20"/>
                <w:lang w:val="uk-UA" w:eastAsia="ru-RU"/>
              </w:rPr>
              <w:t xml:space="preserve">В січні 2020 року  Криворізьке відділення здійснило страхові виплати </w:t>
            </w:r>
            <w:r w:rsidR="00612AA0" w:rsidRPr="009B7225">
              <w:rPr>
                <w:rFonts w:ascii="Times New Roman" w:eastAsia="Times New Roman" w:hAnsi="Times New Roman" w:cs="Times New Roman"/>
                <w:color w:val="000000"/>
                <w:sz w:val="20"/>
                <w:szCs w:val="20"/>
                <w:lang w:val="uk-UA" w:eastAsia="ru-RU"/>
              </w:rPr>
              <w:t xml:space="preserve">більш як 11 </w:t>
            </w:r>
            <w:proofErr w:type="spellStart"/>
            <w:r w:rsidR="00612AA0" w:rsidRPr="009B7225">
              <w:rPr>
                <w:rFonts w:ascii="Times New Roman" w:eastAsia="Times New Roman" w:hAnsi="Times New Roman" w:cs="Times New Roman"/>
                <w:color w:val="000000"/>
                <w:sz w:val="20"/>
                <w:szCs w:val="20"/>
                <w:lang w:val="uk-UA" w:eastAsia="ru-RU"/>
              </w:rPr>
              <w:t>тис.</w:t>
            </w:r>
            <w:r w:rsidRPr="009B7225">
              <w:rPr>
                <w:rFonts w:ascii="Times New Roman" w:eastAsia="Times New Roman" w:hAnsi="Times New Roman" w:cs="Times New Roman"/>
                <w:color w:val="000000"/>
                <w:sz w:val="20"/>
                <w:szCs w:val="20"/>
                <w:lang w:val="uk-UA" w:eastAsia="ru-RU"/>
              </w:rPr>
              <w:t>потерпілим</w:t>
            </w:r>
            <w:proofErr w:type="spellEnd"/>
            <w:r w:rsidRPr="009B7225">
              <w:rPr>
                <w:rFonts w:ascii="Times New Roman" w:eastAsia="Times New Roman" w:hAnsi="Times New Roman" w:cs="Times New Roman"/>
                <w:color w:val="000000"/>
                <w:sz w:val="20"/>
                <w:szCs w:val="20"/>
                <w:lang w:val="uk-UA" w:eastAsia="ru-RU"/>
              </w:rPr>
              <w:t xml:space="preserve"> (членам їх сімей) в сумі 41,5 млн. грн.</w:t>
            </w:r>
          </w:p>
          <w:p w:rsidR="00572C94" w:rsidRPr="009B7225" w:rsidRDefault="00572C94" w:rsidP="00572C94">
            <w:pPr>
              <w:spacing w:after="150" w:line="288" w:lineRule="atLeast"/>
              <w:ind w:left="5103"/>
              <w:rPr>
                <w:rFonts w:ascii="Times New Roman" w:eastAsia="Times New Roman" w:hAnsi="Times New Roman" w:cs="Times New Roman"/>
                <w:color w:val="676767"/>
                <w:sz w:val="20"/>
                <w:szCs w:val="20"/>
                <w:lang w:val="uk-UA" w:eastAsia="ru-RU"/>
              </w:rPr>
            </w:pPr>
          </w:p>
        </w:tc>
      </w:tr>
      <w:bookmarkEnd w:id="0"/>
    </w:tbl>
    <w:p w:rsidR="00572C94" w:rsidRPr="00DA5774" w:rsidRDefault="00572C94">
      <w:pPr>
        <w:rPr>
          <w:rFonts w:ascii="Times New Roman" w:hAnsi="Times New Roman" w:cs="Times New Roman"/>
          <w:sz w:val="20"/>
          <w:szCs w:val="20"/>
        </w:rPr>
      </w:pPr>
    </w:p>
    <w:sectPr w:rsidR="00572C94" w:rsidRPr="00DA5774" w:rsidSect="00DA5774">
      <w:pgSz w:w="11909" w:h="16834" w:code="9"/>
      <w:pgMar w:top="567" w:right="567" w:bottom="567" w:left="907"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C94"/>
    <w:rsid w:val="00182DF0"/>
    <w:rsid w:val="002A712E"/>
    <w:rsid w:val="004C4936"/>
    <w:rsid w:val="004E691F"/>
    <w:rsid w:val="00572C94"/>
    <w:rsid w:val="00612AA0"/>
    <w:rsid w:val="008F0700"/>
    <w:rsid w:val="009B7225"/>
    <w:rsid w:val="00BB1E92"/>
    <w:rsid w:val="00DA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2C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C9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2C94"/>
    <w:rPr>
      <w:color w:val="0000FF"/>
      <w:u w:val="single"/>
    </w:rPr>
  </w:style>
  <w:style w:type="character" w:customStyle="1" w:styleId="spelle">
    <w:name w:val="spelle"/>
    <w:basedOn w:val="a0"/>
    <w:rsid w:val="00572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2C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C9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72C94"/>
    <w:rPr>
      <w:color w:val="0000FF"/>
      <w:u w:val="single"/>
    </w:rPr>
  </w:style>
  <w:style w:type="character" w:customStyle="1" w:styleId="spelle">
    <w:name w:val="spelle"/>
    <w:basedOn w:val="a0"/>
    <w:rsid w:val="0057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552754">
      <w:bodyDiv w:val="1"/>
      <w:marLeft w:val="0"/>
      <w:marRight w:val="0"/>
      <w:marTop w:val="0"/>
      <w:marBottom w:val="0"/>
      <w:divBdr>
        <w:top w:val="none" w:sz="0" w:space="0" w:color="auto"/>
        <w:left w:val="none" w:sz="0" w:space="0" w:color="auto"/>
        <w:bottom w:val="none" w:sz="0" w:space="0" w:color="auto"/>
        <w:right w:val="none" w:sz="0" w:space="0" w:color="auto"/>
      </w:divBdr>
      <w:divsChild>
        <w:div w:id="10187683">
          <w:marLeft w:val="0"/>
          <w:marRight w:val="0"/>
          <w:marTop w:val="0"/>
          <w:marBottom w:val="150"/>
          <w:divBdr>
            <w:top w:val="none" w:sz="0" w:space="0" w:color="auto"/>
            <w:left w:val="none" w:sz="0" w:space="0" w:color="auto"/>
            <w:bottom w:val="none" w:sz="0" w:space="0" w:color="auto"/>
            <w:right w:val="none" w:sz="0" w:space="0" w:color="auto"/>
          </w:divBdr>
          <w:divsChild>
            <w:div w:id="1593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0795">
      <w:bodyDiv w:val="1"/>
      <w:marLeft w:val="0"/>
      <w:marRight w:val="0"/>
      <w:marTop w:val="0"/>
      <w:marBottom w:val="0"/>
      <w:divBdr>
        <w:top w:val="none" w:sz="0" w:space="0" w:color="auto"/>
        <w:left w:val="none" w:sz="0" w:space="0" w:color="auto"/>
        <w:bottom w:val="none" w:sz="0" w:space="0" w:color="auto"/>
        <w:right w:val="none" w:sz="0" w:space="0" w:color="auto"/>
      </w:divBdr>
      <w:divsChild>
        <w:div w:id="882139438">
          <w:marLeft w:val="0"/>
          <w:marRight w:val="0"/>
          <w:marTop w:val="0"/>
          <w:marBottom w:val="150"/>
          <w:divBdr>
            <w:top w:val="none" w:sz="0" w:space="0" w:color="auto"/>
            <w:left w:val="none" w:sz="0" w:space="0" w:color="auto"/>
            <w:bottom w:val="none" w:sz="0" w:space="0" w:color="auto"/>
            <w:right w:val="none" w:sz="0" w:space="0" w:color="auto"/>
          </w:divBdr>
          <w:divsChild>
            <w:div w:id="19455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rada/show/z0680-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2969</Words>
  <Characters>1693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dumyak</cp:lastModifiedBy>
  <cp:revision>5</cp:revision>
  <cp:lastPrinted>2020-02-17T08:19:00Z</cp:lastPrinted>
  <dcterms:created xsi:type="dcterms:W3CDTF">2020-02-10T09:18:00Z</dcterms:created>
  <dcterms:modified xsi:type="dcterms:W3CDTF">2020-02-18T06:33:00Z</dcterms:modified>
</cp:coreProperties>
</file>