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30" w:rsidRPr="00DB4FA1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</w:t>
      </w:r>
    </w:p>
    <w:p w:rsidR="00212580" w:rsidRDefault="00212580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про періодичне відстеження рез</w:t>
      </w:r>
      <w:r w:rsidR="00072C54">
        <w:rPr>
          <w:rFonts w:ascii="Times New Roman" w:hAnsi="Times New Roman" w:cs="Times New Roman"/>
          <w:b/>
          <w:sz w:val="24"/>
          <w:szCs w:val="24"/>
          <w:lang w:val="uk-UA"/>
        </w:rPr>
        <w:t>ультативності регуляторного акта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«Затвердження Положення про порядок присвоєння та зміни поштових адрес (поділ з присвоєнням окремого поштового номера) об’єктам нерухо</w:t>
      </w:r>
      <w:r w:rsidR="00DB4FA1" w:rsidRPr="00DB4FA1">
        <w:rPr>
          <w:rFonts w:ascii="Times New Roman" w:hAnsi="Times New Roman" w:cs="Times New Roman"/>
          <w:b/>
          <w:sz w:val="24"/>
          <w:szCs w:val="24"/>
          <w:lang w:val="uk-UA"/>
        </w:rPr>
        <w:t>мого майна найменування або перейменування площ, проспектів, вулиць, провулків, скверів, бульварів, парків, увічнення подій та пам’яті видатних діячів Карпівської сільської ради Широківського району Дніпропетровської області</w:t>
      </w:r>
      <w:r w:rsidRPr="00DB4FA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F0258" w:rsidRDefault="00DF0258" w:rsidP="00DB4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0258" w:rsidRPr="00DF0258" w:rsidRDefault="00DF0258" w:rsidP="00DF025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0258">
        <w:rPr>
          <w:rFonts w:ascii="Times New Roman" w:hAnsi="Times New Roman" w:cs="Times New Roman"/>
          <w:b/>
          <w:sz w:val="24"/>
          <w:szCs w:val="24"/>
          <w:lang w:val="uk-UA"/>
        </w:rPr>
        <w:t>Вид та назва регуляторного акта, результативність якого відстежується:</w:t>
      </w:r>
    </w:p>
    <w:p w:rsidR="00DF0258" w:rsidRPr="00DF0258" w:rsidRDefault="00DF0258" w:rsidP="00DF0258">
      <w:pPr>
        <w:pStyle w:val="a3"/>
        <w:spacing w:after="0"/>
        <w:ind w:left="168" w:firstLine="39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Карпівської сільської ради  від 30.08.2016 № 184-8/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>«Затвердження Положення про порядок присвоєння та зміни поштових адрес (поділ з присвоєнням окремого поштового номера) об’єктам нерухомого майна</w:t>
      </w:r>
      <w:r w:rsidR="00DE685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 або перейменування площ, проспектів, вулиць, провулків, скверів, бульварів, парків, увічнення подій та пам’яті видатних діячів Карпівської сільської ради Широківського району Дніпропетровської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 ).</w:t>
      </w:r>
    </w:p>
    <w:p w:rsidR="00DF0258" w:rsidRPr="00DF0258" w:rsidRDefault="00DF0258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2C1106" w:rsidRDefault="00DF0258" w:rsidP="002C1106">
      <w:pPr>
        <w:pStyle w:val="a3"/>
        <w:numPr>
          <w:ilvl w:val="0"/>
          <w:numId w:val="1"/>
        </w:numPr>
        <w:spacing w:after="0"/>
        <w:ind w:left="588" w:hanging="40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1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виконавця заходів з відстеження: </w:t>
      </w:r>
    </w:p>
    <w:p w:rsidR="00DF0258" w:rsidRDefault="00DF0258" w:rsidP="002C1106">
      <w:pPr>
        <w:spacing w:after="0"/>
        <w:ind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2C1106">
        <w:rPr>
          <w:rFonts w:ascii="Times New Roman" w:hAnsi="Times New Roman" w:cs="Times New Roman"/>
          <w:sz w:val="24"/>
          <w:szCs w:val="24"/>
          <w:lang w:val="uk-UA"/>
        </w:rPr>
        <w:t>загально – організаційного забезпечення</w:t>
      </w:r>
      <w:r w:rsidRPr="00DF0258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C1106">
        <w:rPr>
          <w:rFonts w:ascii="Times New Roman" w:hAnsi="Times New Roman" w:cs="Times New Roman"/>
          <w:sz w:val="24"/>
          <w:szCs w:val="24"/>
          <w:lang w:val="uk-UA"/>
        </w:rPr>
        <w:t>Карпівської сільської ради.</w:t>
      </w:r>
    </w:p>
    <w:p w:rsidR="00711828" w:rsidRPr="00DF0258" w:rsidRDefault="00711828" w:rsidP="002C1106">
      <w:pPr>
        <w:spacing w:after="0"/>
        <w:ind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DF0258" w:rsidRDefault="002C1106" w:rsidP="002C1106">
      <w:pPr>
        <w:tabs>
          <w:tab w:val="left" w:pos="567"/>
        </w:tabs>
        <w:spacing w:after="0"/>
        <w:ind w:firstLine="1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110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DF0258" w:rsidRPr="002C110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2C1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Цілі прийняття акта: </w:t>
      </w:r>
    </w:p>
    <w:p w:rsidR="00AC08DB" w:rsidRDefault="00DF0258" w:rsidP="00AC08DB">
      <w:pPr>
        <w:spacing w:after="0"/>
        <w:ind w:firstLine="588"/>
        <w:jc w:val="both"/>
        <w:rPr>
          <w:lang w:val="uk-UA"/>
        </w:rPr>
      </w:pPr>
      <w:r w:rsidRPr="00DF0258">
        <w:rPr>
          <w:rFonts w:ascii="Times New Roman" w:hAnsi="Times New Roman" w:cs="Times New Roman"/>
          <w:sz w:val="24"/>
          <w:szCs w:val="24"/>
          <w:lang w:val="uk-UA"/>
        </w:rPr>
        <w:t>Спрощення процедури присвоєння та зміни поштових адрес об’єктам нерухомого майна, присвоєння адрес новоствореним земельним ділянкам, що відводяться, з впорядкуванням нормативно-правової бази відповідно до вимог чинного законодавства, що сприятиме повному, якісному задоволенню потреб населення в подальших діях щодо розроблення та затвердження землевпорядної, містобудівної документації, державної реєстра</w:t>
      </w:r>
      <w:r w:rsidR="00AC08DB">
        <w:rPr>
          <w:rFonts w:ascii="Times New Roman" w:hAnsi="Times New Roman" w:cs="Times New Roman"/>
          <w:sz w:val="24"/>
          <w:szCs w:val="24"/>
          <w:lang w:val="uk-UA"/>
        </w:rPr>
        <w:t>ції прав на нерухоме майно.</w:t>
      </w:r>
      <w:r w:rsidR="00BC287F" w:rsidRPr="00BC287F">
        <w:rPr>
          <w:lang w:val="uk-UA"/>
        </w:rPr>
        <w:t xml:space="preserve"> </w:t>
      </w:r>
    </w:p>
    <w:p w:rsidR="00711828" w:rsidRDefault="00711828" w:rsidP="00AC08DB">
      <w:pPr>
        <w:spacing w:after="0"/>
        <w:ind w:firstLine="58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AC08DB" w:rsidRDefault="00AC08DB" w:rsidP="00AC08DB">
      <w:pPr>
        <w:tabs>
          <w:tab w:val="left" w:pos="567"/>
        </w:tabs>
        <w:spacing w:after="0"/>
        <w:ind w:firstLine="1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8D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DF0258" w:rsidRPr="00AC08D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C08D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F0258" w:rsidRPr="00AC0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Строк виконання заходів з відстеження:  </w:t>
      </w:r>
    </w:p>
    <w:p w:rsidR="00DF0258" w:rsidRDefault="00D54EDE" w:rsidP="00BC287F">
      <w:pPr>
        <w:spacing w:after="0"/>
        <w:ind w:left="588" w:hanging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11.09.2023 – 25.09.2023</w:t>
      </w:r>
    </w:p>
    <w:p w:rsidR="00711828" w:rsidRPr="00AC08DB" w:rsidRDefault="00711828" w:rsidP="00BC287F">
      <w:pPr>
        <w:spacing w:after="0"/>
        <w:ind w:left="588" w:hanging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BC287F" w:rsidRDefault="003F56C5" w:rsidP="00BC287F">
      <w:pPr>
        <w:tabs>
          <w:tab w:val="left" w:pos="567"/>
        </w:tabs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287F" w:rsidRPr="00BC287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DF0258" w:rsidRPr="00BC287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BC28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 відстеження: </w:t>
      </w:r>
    </w:p>
    <w:p w:rsidR="00DF0258" w:rsidRDefault="00BC287F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>Періодичне</w:t>
      </w:r>
    </w:p>
    <w:p w:rsidR="00711828" w:rsidRPr="00DF0258" w:rsidRDefault="00711828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3F56C5" w:rsidRDefault="00BC287F" w:rsidP="003F56C5">
      <w:pPr>
        <w:tabs>
          <w:tab w:val="left" w:pos="567"/>
        </w:tabs>
        <w:spacing w:after="0"/>
        <w:ind w:firstLine="19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6C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F0258" w:rsidRPr="003F56C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3F56C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Методи одержання результативності  відстеження: </w:t>
      </w:r>
    </w:p>
    <w:p w:rsidR="00A3342E" w:rsidRDefault="00A3342E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42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3342E">
        <w:rPr>
          <w:rFonts w:ascii="Times New Roman" w:hAnsi="Times New Roman" w:cs="Times New Roman"/>
          <w:sz w:val="24"/>
          <w:szCs w:val="24"/>
          <w:lang w:val="uk-UA"/>
        </w:rPr>
        <w:t>Результативність даного регуляторного акта відстежувалась методом збору та аналізу статистичних даних, а саме кі</w:t>
      </w:r>
      <w:r w:rsidR="00704FCA">
        <w:rPr>
          <w:rFonts w:ascii="Times New Roman" w:hAnsi="Times New Roman" w:cs="Times New Roman"/>
          <w:sz w:val="24"/>
          <w:szCs w:val="24"/>
          <w:lang w:val="uk-UA"/>
        </w:rPr>
        <w:t>лькості звернень з присвоєння,</w:t>
      </w:r>
      <w:r w:rsidRPr="00A3342E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704FCA">
        <w:rPr>
          <w:rFonts w:ascii="Times New Roman" w:hAnsi="Times New Roman" w:cs="Times New Roman"/>
          <w:sz w:val="24"/>
          <w:szCs w:val="24"/>
          <w:lang w:val="uk-UA"/>
        </w:rPr>
        <w:t xml:space="preserve"> та уточнення адресних номерів об’єктів</w:t>
      </w:r>
      <w:r w:rsidRPr="00A3342E">
        <w:rPr>
          <w:rFonts w:ascii="Times New Roman" w:hAnsi="Times New Roman" w:cs="Times New Roman"/>
          <w:sz w:val="24"/>
          <w:szCs w:val="24"/>
          <w:lang w:val="uk-UA"/>
        </w:rPr>
        <w:t xml:space="preserve"> нерухомості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сільської ради.</w:t>
      </w:r>
    </w:p>
    <w:p w:rsidR="00A3342E" w:rsidRDefault="00A3342E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Pr="00830E8C" w:rsidRDefault="00830E8C" w:rsidP="00830E8C">
      <w:pPr>
        <w:tabs>
          <w:tab w:val="left" w:pos="567"/>
        </w:tabs>
        <w:spacing w:after="0"/>
        <w:ind w:firstLine="2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 </w:t>
      </w:r>
      <w:r w:rsidR="00DF0258" w:rsidRPr="00830E8C">
        <w:rPr>
          <w:rFonts w:ascii="Times New Roman" w:hAnsi="Times New Roman" w:cs="Times New Roman"/>
          <w:b/>
          <w:sz w:val="24"/>
          <w:szCs w:val="24"/>
          <w:lang w:val="uk-UA"/>
        </w:rPr>
        <w:t>Дані та припущення, на основі яких відстежувалась результативність, а також способи одержання даних:</w:t>
      </w:r>
    </w:p>
    <w:p w:rsidR="00DF0258" w:rsidRPr="00820B5A" w:rsidRDefault="00820B5A" w:rsidP="008A0D4C">
      <w:pPr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F0258" w:rsidRPr="00820B5A">
        <w:rPr>
          <w:rFonts w:ascii="Times New Roman" w:hAnsi="Times New Roman" w:cs="Times New Roman"/>
          <w:sz w:val="24"/>
          <w:szCs w:val="24"/>
          <w:lang w:val="uk-UA"/>
        </w:rPr>
        <w:t>Відстеження результативності дії зазначеного регуляторного акта передбачається за наступними критеріями:</w:t>
      </w:r>
    </w:p>
    <w:p w:rsidR="00820B5A" w:rsidRPr="00820B5A" w:rsidRDefault="00820B5A" w:rsidP="008A0D4C">
      <w:pPr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20B5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поданих суб’єктами господарювання та фізичними особами звернень щодо присвоєння,  зміни та уточнення поштових адрес об’єктів нерухомості на території    громади;                       </w:t>
      </w:r>
    </w:p>
    <w:p w:rsidR="00DF0258" w:rsidRPr="005152A0" w:rsidRDefault="00820B5A" w:rsidP="005152A0">
      <w:pPr>
        <w:tabs>
          <w:tab w:val="left" w:pos="709"/>
        </w:tabs>
        <w:spacing w:after="0"/>
        <w:ind w:firstLine="2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52A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F0258" w:rsidRPr="005152A0">
        <w:rPr>
          <w:rFonts w:ascii="Times New Roman" w:hAnsi="Times New Roman" w:cs="Times New Roman"/>
          <w:sz w:val="24"/>
          <w:szCs w:val="24"/>
          <w:lang w:val="uk-UA"/>
        </w:rPr>
        <w:t>кількість рішен</w:t>
      </w:r>
      <w:r w:rsidR="005152A0" w:rsidRPr="005152A0">
        <w:rPr>
          <w:rFonts w:ascii="Times New Roman" w:hAnsi="Times New Roman" w:cs="Times New Roman"/>
          <w:sz w:val="24"/>
          <w:szCs w:val="24"/>
          <w:lang w:val="uk-UA"/>
        </w:rPr>
        <w:t>ь виконавчого комітету стосовно присвоєння,  зміни та у</w:t>
      </w:r>
      <w:r w:rsidR="005152A0">
        <w:rPr>
          <w:rFonts w:ascii="Times New Roman" w:hAnsi="Times New Roman" w:cs="Times New Roman"/>
          <w:sz w:val="24"/>
          <w:szCs w:val="24"/>
          <w:lang w:val="uk-UA"/>
        </w:rPr>
        <w:t xml:space="preserve">точнення поштових адрес об’єктам </w:t>
      </w:r>
      <w:r w:rsidR="005152A0" w:rsidRPr="005152A0">
        <w:rPr>
          <w:rFonts w:ascii="Times New Roman" w:hAnsi="Times New Roman" w:cs="Times New Roman"/>
          <w:sz w:val="24"/>
          <w:szCs w:val="24"/>
          <w:lang w:val="uk-UA"/>
        </w:rPr>
        <w:t xml:space="preserve"> нер</w:t>
      </w:r>
      <w:r w:rsidR="005152A0">
        <w:rPr>
          <w:rFonts w:ascii="Times New Roman" w:hAnsi="Times New Roman" w:cs="Times New Roman"/>
          <w:sz w:val="24"/>
          <w:szCs w:val="24"/>
          <w:lang w:val="uk-UA"/>
        </w:rPr>
        <w:t>ухомого майна</w:t>
      </w:r>
      <w:r w:rsidR="005152A0" w:rsidRPr="005152A0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  </w:t>
      </w:r>
    </w:p>
    <w:p w:rsidR="00F153DE" w:rsidRDefault="00F153DE" w:rsidP="00DF0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258" w:rsidRDefault="0054629C" w:rsidP="0054629C">
      <w:pPr>
        <w:tabs>
          <w:tab w:val="left" w:pos="560"/>
        </w:tabs>
        <w:spacing w:after="0"/>
        <w:ind w:firstLine="2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629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DF0258" w:rsidRPr="0054629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DF025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0258" w:rsidRPr="0054629C">
        <w:rPr>
          <w:rFonts w:ascii="Times New Roman" w:hAnsi="Times New Roman" w:cs="Times New Roman"/>
          <w:b/>
          <w:sz w:val="24"/>
          <w:szCs w:val="24"/>
          <w:lang w:val="uk-UA"/>
        </w:rPr>
        <w:t>Кількісні та якісні значення показників результативності  регуляторного акта</w:t>
      </w:r>
    </w:p>
    <w:p w:rsidR="002B7A75" w:rsidRDefault="002B7A75" w:rsidP="0054629C">
      <w:pPr>
        <w:tabs>
          <w:tab w:val="left" w:pos="560"/>
        </w:tabs>
        <w:spacing w:after="0"/>
        <w:ind w:firstLine="2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275"/>
        <w:gridCol w:w="1560"/>
        <w:gridCol w:w="1842"/>
      </w:tblGrid>
      <w:tr w:rsidR="002B7A75" w:rsidRPr="002B7A75" w:rsidTr="00711828">
        <w:trPr>
          <w:trHeight w:val="253"/>
        </w:trPr>
        <w:tc>
          <w:tcPr>
            <w:tcW w:w="3828" w:type="dxa"/>
            <w:vMerge w:val="restart"/>
          </w:tcPr>
          <w:p w:rsidR="002B7A75" w:rsidRP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A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4677" w:type="dxa"/>
            <w:gridSpan w:val="3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результативності</w:t>
            </w:r>
          </w:p>
          <w:p w:rsidR="002B7A75" w:rsidRP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7A75" w:rsidRPr="002B7A75" w:rsidTr="00711828">
        <w:trPr>
          <w:trHeight w:val="563"/>
        </w:trPr>
        <w:tc>
          <w:tcPr>
            <w:tcW w:w="3828" w:type="dxa"/>
            <w:vMerge/>
          </w:tcPr>
          <w:p w:rsidR="002B7A75" w:rsidRP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B7A75" w:rsidRP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560" w:type="dxa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місяців </w:t>
            </w:r>
          </w:p>
          <w:p w:rsidR="002B7A75" w:rsidRP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року</w:t>
            </w:r>
          </w:p>
        </w:tc>
      </w:tr>
      <w:tr w:rsidR="002B7A75" w:rsidRPr="002B7A75" w:rsidTr="00711828">
        <w:trPr>
          <w:trHeight w:val="300"/>
        </w:trPr>
        <w:tc>
          <w:tcPr>
            <w:tcW w:w="3828" w:type="dxa"/>
          </w:tcPr>
          <w:p w:rsidR="002B7A75" w:rsidRPr="002B7A75" w:rsidRDefault="002B7A75" w:rsidP="000D7FCA">
            <w:pPr>
              <w:tabs>
                <w:tab w:val="left" w:pos="5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="000D7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звернень</w:t>
            </w:r>
          </w:p>
        </w:tc>
        <w:tc>
          <w:tcPr>
            <w:tcW w:w="1275" w:type="dxa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560" w:type="dxa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2" w:type="dxa"/>
          </w:tcPr>
          <w:p w:rsidR="002B7A75" w:rsidRDefault="002B7A75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2B7A75" w:rsidRPr="002B7A75" w:rsidTr="00711828">
        <w:trPr>
          <w:trHeight w:val="300"/>
        </w:trPr>
        <w:tc>
          <w:tcPr>
            <w:tcW w:w="3828" w:type="dxa"/>
          </w:tcPr>
          <w:p w:rsidR="002B7A75" w:rsidRPr="002B7A75" w:rsidRDefault="000D7FCA" w:rsidP="000D7FCA">
            <w:pPr>
              <w:tabs>
                <w:tab w:val="left" w:pos="5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прийнятих рішень про уточнення поштових адрес домоволодінь в населених пунктах сільської ради </w:t>
            </w:r>
          </w:p>
        </w:tc>
        <w:tc>
          <w:tcPr>
            <w:tcW w:w="1275" w:type="dxa"/>
          </w:tcPr>
          <w:p w:rsidR="002B7A75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60" w:type="dxa"/>
          </w:tcPr>
          <w:p w:rsidR="002B7A75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</w:tcPr>
          <w:p w:rsidR="002B7A75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D7FCA" w:rsidRPr="002B7A75" w:rsidTr="00711828">
        <w:trPr>
          <w:trHeight w:val="300"/>
        </w:trPr>
        <w:tc>
          <w:tcPr>
            <w:tcW w:w="3828" w:type="dxa"/>
          </w:tcPr>
          <w:p w:rsidR="000D7FCA" w:rsidRDefault="000D7FCA" w:rsidP="000D7FCA">
            <w:pPr>
              <w:tabs>
                <w:tab w:val="left" w:pos="5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прийнятих рішень про присвоєння</w:t>
            </w:r>
            <w:r w:rsidRPr="000D7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поштових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  домоволодінням </w:t>
            </w:r>
            <w:r w:rsidRPr="000D7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населених пунктах сільської ради</w:t>
            </w:r>
          </w:p>
        </w:tc>
        <w:tc>
          <w:tcPr>
            <w:tcW w:w="1275" w:type="dxa"/>
          </w:tcPr>
          <w:p w:rsidR="000D7FCA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60" w:type="dxa"/>
          </w:tcPr>
          <w:p w:rsidR="000D7FCA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2" w:type="dxa"/>
          </w:tcPr>
          <w:p w:rsidR="000D7FCA" w:rsidRDefault="000D7FCA" w:rsidP="002B7A75">
            <w:pPr>
              <w:tabs>
                <w:tab w:val="left" w:pos="5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2B7A75" w:rsidRDefault="002B7A75" w:rsidP="0054629C">
      <w:pPr>
        <w:tabs>
          <w:tab w:val="left" w:pos="560"/>
        </w:tabs>
        <w:spacing w:after="0"/>
        <w:ind w:firstLine="21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0258" w:rsidRDefault="008633C4" w:rsidP="008633C4">
      <w:pPr>
        <w:tabs>
          <w:tab w:val="left" w:pos="574"/>
        </w:tabs>
        <w:spacing w:after="0"/>
        <w:ind w:left="28" w:firstLine="19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33C4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DF0258" w:rsidRPr="008633C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F0258" w:rsidRPr="008633C4">
        <w:rPr>
          <w:rFonts w:ascii="Times New Roman" w:hAnsi="Times New Roman" w:cs="Times New Roman"/>
          <w:b/>
          <w:sz w:val="24"/>
          <w:szCs w:val="24"/>
          <w:lang w:val="uk-UA"/>
        </w:rPr>
        <w:tab/>
        <w:t>Оцінка результатів реалізації регуляторного акта та ступеня досягнення визначених цілей</w:t>
      </w:r>
    </w:p>
    <w:p w:rsidR="00ED47EA" w:rsidRPr="00ED47EA" w:rsidRDefault="00ED47EA" w:rsidP="00ED47EA">
      <w:pPr>
        <w:tabs>
          <w:tab w:val="left" w:pos="574"/>
        </w:tabs>
        <w:spacing w:after="0"/>
        <w:ind w:left="28" w:firstLine="19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r w:rsidRPr="00ED47EA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даного  рішення забезпечило реалізацію державної політики щодо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спрощеної </w:t>
      </w:r>
      <w:r w:rsidRPr="00ED47EA">
        <w:rPr>
          <w:rFonts w:ascii="Times New Roman" w:hAnsi="Times New Roman" w:cs="Times New Roman"/>
          <w:sz w:val="24"/>
          <w:szCs w:val="24"/>
          <w:lang w:val="uk-UA"/>
        </w:rPr>
        <w:t>процедури присвоєння та уточнення  поштових адрес об’єктам нерухомого майна.</w:t>
      </w:r>
      <w:r w:rsidR="00174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64324" w:rsidRDefault="00164324" w:rsidP="00C16CE1">
      <w:pPr>
        <w:spacing w:after="0"/>
        <w:ind w:firstLine="6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16432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аналіз оцінки результатів реалізації регуляторного акта та ступеню досягнення визначених цілей можна зробити висновок: цілі регулювання досягаються, але </w:t>
      </w:r>
      <w:r w:rsidR="00C16CE1">
        <w:rPr>
          <w:rFonts w:ascii="Times New Roman" w:hAnsi="Times New Roman" w:cs="Times New Roman"/>
          <w:sz w:val="24"/>
          <w:szCs w:val="24"/>
          <w:lang w:val="uk-UA"/>
        </w:rPr>
        <w:t xml:space="preserve"> можливі внесення </w:t>
      </w:r>
      <w:r w:rsidR="0017495B">
        <w:rPr>
          <w:rFonts w:ascii="Times New Roman" w:hAnsi="Times New Roman" w:cs="Times New Roman"/>
          <w:sz w:val="24"/>
          <w:szCs w:val="24"/>
          <w:lang w:val="uk-UA"/>
        </w:rPr>
        <w:t xml:space="preserve">доповнення та </w:t>
      </w:r>
      <w:r w:rsidR="00C16CE1">
        <w:rPr>
          <w:rFonts w:ascii="Times New Roman" w:hAnsi="Times New Roman" w:cs="Times New Roman"/>
          <w:sz w:val="24"/>
          <w:szCs w:val="24"/>
          <w:lang w:val="uk-UA"/>
        </w:rPr>
        <w:t>змі</w:t>
      </w:r>
      <w:r w:rsidR="005A3B8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C16CE1">
        <w:rPr>
          <w:rFonts w:ascii="Times New Roman" w:hAnsi="Times New Roman" w:cs="Times New Roman"/>
          <w:sz w:val="24"/>
          <w:szCs w:val="24"/>
          <w:lang w:val="uk-UA"/>
        </w:rPr>
        <w:t>, з урахуванням змін</w:t>
      </w:r>
      <w:r w:rsidRPr="00164324">
        <w:rPr>
          <w:rFonts w:ascii="Times New Roman" w:hAnsi="Times New Roman" w:cs="Times New Roman"/>
          <w:sz w:val="24"/>
          <w:szCs w:val="24"/>
          <w:lang w:val="uk-UA"/>
        </w:rPr>
        <w:t xml:space="preserve"> в  чинному законодавстві.</w:t>
      </w:r>
    </w:p>
    <w:bookmarkEnd w:id="0"/>
    <w:p w:rsidR="00545056" w:rsidRDefault="00545056" w:rsidP="00C16CE1">
      <w:pPr>
        <w:spacing w:after="0"/>
        <w:ind w:firstLine="61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56" w:rsidRDefault="00545056" w:rsidP="00C16CE1">
      <w:pPr>
        <w:spacing w:after="0"/>
        <w:ind w:firstLine="61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56" w:rsidRDefault="00545056" w:rsidP="00C16CE1">
      <w:pPr>
        <w:spacing w:after="0"/>
        <w:ind w:firstLine="61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5056" w:rsidRPr="008633C4" w:rsidRDefault="00545056" w:rsidP="00C16CE1">
      <w:pPr>
        <w:spacing w:after="0"/>
        <w:ind w:firstLine="6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                                           </w:t>
      </w:r>
      <w:r w:rsidR="00C73AE9">
        <w:rPr>
          <w:rFonts w:ascii="Times New Roman" w:hAnsi="Times New Roman" w:cs="Times New Roman"/>
          <w:sz w:val="24"/>
          <w:szCs w:val="24"/>
          <w:lang w:val="uk-UA"/>
        </w:rPr>
        <w:t xml:space="preserve"> Степан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ОЛІЙНИКОВ</w:t>
      </w:r>
    </w:p>
    <w:sectPr w:rsidR="00545056" w:rsidRPr="008633C4" w:rsidSect="00711828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E7" w:rsidRDefault="004016E7" w:rsidP="00711828">
      <w:pPr>
        <w:spacing w:after="0" w:line="240" w:lineRule="auto"/>
      </w:pPr>
      <w:r>
        <w:separator/>
      </w:r>
    </w:p>
  </w:endnote>
  <w:endnote w:type="continuationSeparator" w:id="0">
    <w:p w:rsidR="004016E7" w:rsidRDefault="004016E7" w:rsidP="0071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E7" w:rsidRDefault="004016E7" w:rsidP="00711828">
      <w:pPr>
        <w:spacing w:after="0" w:line="240" w:lineRule="auto"/>
      </w:pPr>
      <w:r>
        <w:separator/>
      </w:r>
    </w:p>
  </w:footnote>
  <w:footnote w:type="continuationSeparator" w:id="0">
    <w:p w:rsidR="004016E7" w:rsidRDefault="004016E7" w:rsidP="0071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363489"/>
      <w:docPartObj>
        <w:docPartGallery w:val="Page Numbers (Top of Page)"/>
        <w:docPartUnique/>
      </w:docPartObj>
    </w:sdtPr>
    <w:sdtEndPr/>
    <w:sdtContent>
      <w:p w:rsidR="00711828" w:rsidRDefault="007118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8D">
          <w:rPr>
            <w:noProof/>
          </w:rPr>
          <w:t>2</w:t>
        </w:r>
        <w:r>
          <w:fldChar w:fldCharType="end"/>
        </w:r>
      </w:p>
    </w:sdtContent>
  </w:sdt>
  <w:p w:rsidR="00711828" w:rsidRDefault="007118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14D0"/>
    <w:multiLevelType w:val="hybridMultilevel"/>
    <w:tmpl w:val="4D88E2CA"/>
    <w:lvl w:ilvl="0" w:tplc="F1862352">
      <w:start w:val="1"/>
      <w:numFmt w:val="decimal"/>
      <w:lvlText w:val="%1."/>
      <w:lvlJc w:val="left"/>
      <w:pPr>
        <w:ind w:left="127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48"/>
    <w:rsid w:val="00072C54"/>
    <w:rsid w:val="000C647D"/>
    <w:rsid w:val="000D7FCA"/>
    <w:rsid w:val="0013644B"/>
    <w:rsid w:val="00164324"/>
    <w:rsid w:val="0017495B"/>
    <w:rsid w:val="00212580"/>
    <w:rsid w:val="00297D28"/>
    <w:rsid w:val="002B7A75"/>
    <w:rsid w:val="002C1106"/>
    <w:rsid w:val="002D56D3"/>
    <w:rsid w:val="0030302D"/>
    <w:rsid w:val="003F56C5"/>
    <w:rsid w:val="004016E7"/>
    <w:rsid w:val="005152A0"/>
    <w:rsid w:val="00545056"/>
    <w:rsid w:val="0054629C"/>
    <w:rsid w:val="005A3B8D"/>
    <w:rsid w:val="00633FF3"/>
    <w:rsid w:val="00704FCA"/>
    <w:rsid w:val="00711828"/>
    <w:rsid w:val="00716559"/>
    <w:rsid w:val="007F2C30"/>
    <w:rsid w:val="00820B5A"/>
    <w:rsid w:val="00830E8C"/>
    <w:rsid w:val="008633C4"/>
    <w:rsid w:val="008A0D4C"/>
    <w:rsid w:val="00A3342E"/>
    <w:rsid w:val="00A71E48"/>
    <w:rsid w:val="00AC08DB"/>
    <w:rsid w:val="00BC287F"/>
    <w:rsid w:val="00C16CE1"/>
    <w:rsid w:val="00C73AE9"/>
    <w:rsid w:val="00D54EDE"/>
    <w:rsid w:val="00D555B2"/>
    <w:rsid w:val="00D76723"/>
    <w:rsid w:val="00DB4FA1"/>
    <w:rsid w:val="00DE6856"/>
    <w:rsid w:val="00DF0258"/>
    <w:rsid w:val="00ED47EA"/>
    <w:rsid w:val="00F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D825"/>
  <w15:chartTrackingRefBased/>
  <w15:docId w15:val="{C1CCB6EB-1EAA-4B2A-B54B-A175EC2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D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B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828"/>
  </w:style>
  <w:style w:type="paragraph" w:styleId="a9">
    <w:name w:val="footer"/>
    <w:basedOn w:val="a"/>
    <w:link w:val="aa"/>
    <w:uiPriority w:val="99"/>
    <w:unhideWhenUsed/>
    <w:rsid w:val="0071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2023-11-23T11:41:00Z</cp:lastPrinted>
  <dcterms:created xsi:type="dcterms:W3CDTF">2023-11-22T11:50:00Z</dcterms:created>
  <dcterms:modified xsi:type="dcterms:W3CDTF">2024-01-27T09:17:00Z</dcterms:modified>
</cp:coreProperties>
</file>