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49" w:rsidRDefault="00797549" w:rsidP="00797549">
      <w:pP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797549" w:rsidRPr="00516487" w:rsidRDefault="00797549" w:rsidP="00797549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Повідомлення </w:t>
      </w:r>
      <w:r w:rsidRPr="005164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br/>
      </w: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оприлюднення проекту регуляторного акта</w:t>
      </w:r>
    </w:p>
    <w:p w:rsidR="00797549" w:rsidRDefault="00797549" w:rsidP="00797549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>Карпівська</w:t>
      </w:r>
      <w:proofErr w:type="spellEnd"/>
      <w:r w:rsidRPr="00E63765">
        <w:rPr>
          <w:rFonts w:ascii="Times New Roman" w:eastAsia="Times New Roman" w:hAnsi="Times New Roman" w:cs="Times New Roman"/>
          <w:color w:val="393C3F"/>
          <w:sz w:val="24"/>
          <w:szCs w:val="24"/>
          <w:lang w:val="uk-UA"/>
        </w:rPr>
        <w:t xml:space="preserve"> сільська рада повідомляє про оприлюднення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«Про затвердження технічної документації, про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нормативну грошову оцінку </w:t>
      </w:r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земельних ділянок (для розміщення та експлуатації основних, підсобних і допоміжних, будівель та споруд підприємствами, що пов’язані з користуванням надрами – 11.01) які перебувають в користуванні </w:t>
      </w:r>
      <w:proofErr w:type="spellStart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«Інгулецький гірничо-збагачувальний комбінат» на території </w:t>
      </w:r>
      <w:proofErr w:type="spellStart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Широківського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району Дніпропетровської області (за межами населених пунктів)</w:t>
      </w:r>
      <w:r>
        <w:rPr>
          <w:rFonts w:ascii="Times New Roman" w:hAnsi="Times New Roman" w:cs="Times New Roman"/>
          <w:sz w:val="24"/>
          <w:szCs w:val="24"/>
          <w:lang w:val="uk-UA"/>
        </w:rPr>
        <w:t>» та аналізу регуляторного впливу даного рішення</w:t>
      </w:r>
      <w:r w:rsidRPr="00E63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метою одержання зауважень і пропозицій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від </w:t>
      </w:r>
      <w:r w:rsidRPr="00CB0AF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фізичних та юридичних осіб, їх об’єднань.</w:t>
      </w:r>
      <w:r w:rsidRPr="00CB0AF6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797549" w:rsidRDefault="00797549" w:rsidP="00797549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 xml:space="preserve">Зміст проекту: </w:t>
      </w:r>
      <w:r w:rsidRPr="00E637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проектом регуляторного акта передбачено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затвердження технічної документації про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нормативну грошову оцінку </w:t>
      </w:r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земельних ділянок (для розміщення та експлуатації основних, підсобних і допоміжних, будівель та споруд підприємствами, що пов’язані з користуванням надрами – 11.01) які перебувають в користуванні </w:t>
      </w:r>
      <w:proofErr w:type="spellStart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«Інгулецький гірничо-збагачувальний комбінат» на території </w:t>
      </w:r>
      <w:proofErr w:type="spellStart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85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Широківського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району Дніпропетровської області (за межами населених пунктів), що виконана Приватним Підприємством «ЗЕМЛІ ПІВДНЯ» на замовлення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сільської ради, про що Головним управлінням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 Дніпропетровській області складений висновок державної експертизи землевпорядної документації від 11 грудня 2018 року № 1027.</w:t>
      </w:r>
    </w:p>
    <w:p w:rsidR="00797549" w:rsidRPr="00516487" w:rsidRDefault="00797549" w:rsidP="00797549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>З проектом рішення та аналізом регуляторного впливу зазначеного регуляторного акта можна ознайомитись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 сайті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hyperlink r:id="rId4" w:history="1">
        <w:r w:rsidRPr="00516487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</w:t>
        </w:r>
      </w:hyperlink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16487">
        <w:rPr>
          <w:rFonts w:ascii="Times New Roman" w:hAnsi="Times New Roman" w:cs="Times New Roman"/>
          <w:color w:val="000000"/>
          <w:sz w:val="24"/>
          <w:szCs w:val="24"/>
          <w:lang w:val="uk-UA"/>
        </w:rPr>
        <w:t>karpivka.otg.dp.gov.ua</w:t>
      </w:r>
      <w:proofErr w:type="spellEnd"/>
    </w:p>
    <w:p w:rsidR="00797549" w:rsidRPr="00516487" w:rsidRDefault="00797549" w:rsidP="007975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Пропозиції та зауваження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 Проекту</w:t>
      </w:r>
      <w:r w:rsidRPr="00E25F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рішення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 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відповідним аналізом регуляторного впливу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приймаються в письмовому або електронному вигляді,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протягом місяця, з дня опублікування даного повідомлення, до</w:t>
      </w:r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виконавчого комітету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 сільської ради за адресою с.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Карпівка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вул.. Центральна 97-а та на електрону пошту </w:t>
      </w:r>
      <w:proofErr w:type="spellStart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516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 karpovkastc@ukr.net</w:t>
      </w:r>
    </w:p>
    <w:p w:rsidR="00952A65" w:rsidRPr="00797549" w:rsidRDefault="00952A65">
      <w:pPr>
        <w:rPr>
          <w:lang w:val="uk-UA"/>
        </w:rPr>
      </w:pPr>
    </w:p>
    <w:sectPr w:rsidR="00952A65" w:rsidRPr="0079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549"/>
    <w:rsid w:val="00797549"/>
    <w:rsid w:val="0095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549"/>
    <w:rPr>
      <w:b/>
      <w:bCs/>
    </w:rPr>
  </w:style>
  <w:style w:type="character" w:styleId="a4">
    <w:name w:val="Hyperlink"/>
    <w:basedOn w:val="a0"/>
    <w:unhideWhenUsed/>
    <w:rsid w:val="00797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2020-06-03T11:52:00Z</dcterms:created>
  <dcterms:modified xsi:type="dcterms:W3CDTF">2020-06-03T11:53:00Z</dcterms:modified>
</cp:coreProperties>
</file>