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Аналіз регуляторного впливу</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до проекту </w:t>
      </w:r>
      <w:bookmarkStart w:id="0" w:name="_GoBack"/>
      <w:r w:rsidRPr="00881852">
        <w:rPr>
          <w:rFonts w:ascii="Times New Roman" w:eastAsia="Times New Roman" w:hAnsi="Times New Roman" w:cs="Times New Roman"/>
          <w:color w:val="000000"/>
          <w:sz w:val="27"/>
          <w:szCs w:val="27"/>
          <w:lang w:eastAsia="uk-UA"/>
        </w:rPr>
        <w:t xml:space="preserve">«Про затвердження Порядку визначення та відшкодування територіальній громаді в особі </w:t>
      </w:r>
      <w:proofErr w:type="spellStart"/>
      <w:r w:rsidRPr="00881852">
        <w:rPr>
          <w:rFonts w:ascii="Times New Roman" w:eastAsia="Times New Roman" w:hAnsi="Times New Roman" w:cs="Times New Roman"/>
          <w:color w:val="000000"/>
          <w:sz w:val="27"/>
          <w:szCs w:val="27"/>
          <w:lang w:eastAsia="uk-UA"/>
        </w:rPr>
        <w:t>Карпівської</w:t>
      </w:r>
      <w:proofErr w:type="spellEnd"/>
      <w:r w:rsidRPr="00881852">
        <w:rPr>
          <w:rFonts w:ascii="Times New Roman" w:eastAsia="Times New Roman" w:hAnsi="Times New Roman" w:cs="Times New Roman"/>
          <w:color w:val="000000"/>
          <w:sz w:val="27"/>
          <w:szCs w:val="27"/>
          <w:lang w:eastAsia="uk-UA"/>
        </w:rPr>
        <w:t xml:space="preserve"> сільської ради збитків, заподіяних внаслідок порушення вимог земельного законодавства</w:t>
      </w:r>
      <w:r w:rsidR="00D02473">
        <w:rPr>
          <w:rFonts w:ascii="Times New Roman" w:eastAsia="Times New Roman" w:hAnsi="Times New Roman" w:cs="Times New Roman"/>
          <w:color w:val="000000"/>
          <w:sz w:val="27"/>
          <w:szCs w:val="27"/>
          <w:lang w:eastAsia="uk-UA"/>
        </w:rPr>
        <w:t>»</w:t>
      </w:r>
    </w:p>
    <w:bookmarkEnd w:id="0"/>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            Розроблений на виконання та дотриманням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 затвердженої Постановою Кабінету Міністрів України від 11.03.2004 № 308. </w:t>
      </w:r>
      <w:r w:rsidRPr="00881852">
        <w:rPr>
          <w:rFonts w:ascii="Times New Roman" w:eastAsia="Times New Roman" w:hAnsi="Times New Roman" w:cs="Times New Roman"/>
          <w:b/>
          <w:bCs/>
          <w:color w:val="000000"/>
          <w:sz w:val="27"/>
          <w:szCs w:val="27"/>
          <w:bdr w:val="none" w:sz="0" w:space="0" w:color="auto" w:frame="1"/>
          <w:lang w:eastAsia="uk-UA"/>
        </w:rPr>
        <w:t>(</w:t>
      </w:r>
      <w:r w:rsidRPr="00881852">
        <w:rPr>
          <w:rFonts w:ascii="Times New Roman" w:eastAsia="Times New Roman" w:hAnsi="Times New Roman" w:cs="Times New Roman"/>
          <w:color w:val="000000"/>
          <w:sz w:val="27"/>
          <w:szCs w:val="27"/>
          <w:lang w:eastAsia="uk-UA"/>
        </w:rPr>
        <w:t>надалі - Аналіз)</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1. Визначення та аналіз проблеми, яку передбачається розв’язати шляхом державного регулювання</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Земельним та Податковим кодексами України встановлено, що використання землі в Україні є платним. Через недосконалість земельного законодавства на загальнодержавному рівні, навіть при наявних рішеннях щодо передачі земель в оренду, землекористувачі не поспішають укладати договори оренди, або взагалі ухиляються від їх укладення. Також мають непоодинокі випадки користування земельними ділянками без оформлення права оренди (тобто без прийняття рішення міською радою про надання земельної ділянки в оренду). Залишення даної ситуації без змін є неприйнятним, так як деякі підприємства, установи, організації, юридичні особи, фізичні особи – підприємці, а також громадяни (далі – Суб’єкти) не здійснюють належним чином плати за землю, а відсутність механізму нарахування збитків дозволяє їм уникати відповідальності в частині відшкодування збитків, завданої власнику землі (сільській раді).</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Відсутність ринкових механізмів, або нормативного документа, який в рамках чинного законодавства дає можливість зробити прозорим порядок нарахування збитків, заподіяних внаслідок порушення вимог земельного законодавства є основною причиною виникнення даної проблеми.</w:t>
      </w:r>
    </w:p>
    <w:p w:rsid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Затвердження даного Положення створить правовий механізм щодо визначення розмірів збитків, заподіяних </w:t>
      </w:r>
      <w:proofErr w:type="spellStart"/>
      <w:r w:rsidRPr="00881852">
        <w:rPr>
          <w:rFonts w:ascii="Times New Roman" w:eastAsia="Times New Roman" w:hAnsi="Times New Roman" w:cs="Times New Roman"/>
          <w:color w:val="000000"/>
          <w:sz w:val="27"/>
          <w:szCs w:val="27"/>
          <w:lang w:eastAsia="uk-UA"/>
        </w:rPr>
        <w:t>Карпівській</w:t>
      </w:r>
      <w:proofErr w:type="spellEnd"/>
      <w:r w:rsidRPr="00881852">
        <w:rPr>
          <w:rFonts w:ascii="Times New Roman" w:eastAsia="Times New Roman" w:hAnsi="Times New Roman" w:cs="Times New Roman"/>
          <w:color w:val="000000"/>
          <w:sz w:val="27"/>
          <w:szCs w:val="27"/>
          <w:lang w:eastAsia="uk-UA"/>
        </w:rPr>
        <w:t xml:space="preserve"> сільській раді внаслідок недотримання вимог земельного законодавства у вищевикладених випадках та посилить самоврядний контроль який здійснюють органи місцевого самоврядування, за дотриманням земельного законодавства України на території </w:t>
      </w:r>
      <w:proofErr w:type="spellStart"/>
      <w:r w:rsidRPr="00881852">
        <w:rPr>
          <w:rFonts w:ascii="Times New Roman" w:eastAsia="Times New Roman" w:hAnsi="Times New Roman" w:cs="Times New Roman"/>
          <w:color w:val="000000"/>
          <w:sz w:val="27"/>
          <w:szCs w:val="27"/>
          <w:lang w:eastAsia="uk-UA"/>
        </w:rPr>
        <w:t>Карпівської</w:t>
      </w:r>
      <w:proofErr w:type="spellEnd"/>
      <w:r w:rsidRPr="00881852">
        <w:rPr>
          <w:rFonts w:ascii="Times New Roman" w:eastAsia="Times New Roman" w:hAnsi="Times New Roman" w:cs="Times New Roman"/>
          <w:color w:val="000000"/>
          <w:sz w:val="27"/>
          <w:szCs w:val="27"/>
          <w:lang w:eastAsia="uk-UA"/>
        </w:rPr>
        <w:t xml:space="preserve"> сільської ради. Дія даного регуляторного акт</w:t>
      </w:r>
      <w:r w:rsidR="00BD4D43">
        <w:rPr>
          <w:rFonts w:ascii="Times New Roman" w:eastAsia="Times New Roman" w:hAnsi="Times New Roman" w:cs="Times New Roman"/>
          <w:color w:val="000000"/>
          <w:sz w:val="27"/>
          <w:szCs w:val="27"/>
          <w:lang w:val="ru-RU" w:eastAsia="uk-UA"/>
        </w:rPr>
        <w:t>у</w:t>
      </w:r>
      <w:r w:rsidRPr="00881852">
        <w:rPr>
          <w:rFonts w:ascii="Times New Roman" w:eastAsia="Times New Roman" w:hAnsi="Times New Roman" w:cs="Times New Roman"/>
          <w:color w:val="000000"/>
          <w:sz w:val="27"/>
          <w:szCs w:val="27"/>
          <w:lang w:eastAsia="uk-UA"/>
        </w:rPr>
        <w:t xml:space="preserve"> поширюється на територіальну громаду, суб’єктів господарювання, органи місцевого самоврядування.</w:t>
      </w:r>
    </w:p>
    <w:tbl>
      <w:tblPr>
        <w:tblStyle w:val="a5"/>
        <w:tblW w:w="0" w:type="auto"/>
        <w:tblLook w:val="04A0" w:firstRow="1" w:lastRow="0" w:firstColumn="1" w:lastColumn="0" w:noHBand="0" w:noVBand="1"/>
      </w:tblPr>
      <w:tblGrid>
        <w:gridCol w:w="3209"/>
        <w:gridCol w:w="3210"/>
        <w:gridCol w:w="3210"/>
      </w:tblGrid>
      <w:tr w:rsidR="00BD4D43" w:rsidTr="00BD4D43">
        <w:tc>
          <w:tcPr>
            <w:tcW w:w="3209" w:type="dxa"/>
          </w:tcPr>
          <w:p w:rsidR="00BD4D43" w:rsidRPr="00881852" w:rsidRDefault="00BD4D43" w:rsidP="00BD4D4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Групи</w:t>
            </w:r>
          </w:p>
        </w:tc>
        <w:tc>
          <w:tcPr>
            <w:tcW w:w="3210" w:type="dxa"/>
          </w:tcPr>
          <w:p w:rsidR="00BD4D43" w:rsidRPr="00881852" w:rsidRDefault="00BD4D43" w:rsidP="00BD4D4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Так</w:t>
            </w:r>
          </w:p>
        </w:tc>
        <w:tc>
          <w:tcPr>
            <w:tcW w:w="3210" w:type="dxa"/>
          </w:tcPr>
          <w:p w:rsidR="00BD4D43" w:rsidRPr="00881852" w:rsidRDefault="00BD4D43" w:rsidP="00BD4D4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Ні</w:t>
            </w:r>
          </w:p>
        </w:tc>
      </w:tr>
      <w:tr w:rsidR="00BD4D43" w:rsidTr="00BD4D43">
        <w:tc>
          <w:tcPr>
            <w:tcW w:w="3209"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Громадяни</w:t>
            </w:r>
          </w:p>
        </w:tc>
        <w:tc>
          <w:tcPr>
            <w:tcW w:w="3210" w:type="dxa"/>
          </w:tcPr>
          <w:p w:rsidR="00BD4D43" w:rsidRPr="00881852" w:rsidRDefault="00BD4D43" w:rsidP="00BD4D4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w:t>
            </w:r>
          </w:p>
        </w:tc>
        <w:tc>
          <w:tcPr>
            <w:tcW w:w="3210" w:type="dxa"/>
          </w:tcPr>
          <w:p w:rsidR="00BD4D43" w:rsidRPr="00881852" w:rsidRDefault="00BD4D43" w:rsidP="00BD4D43">
            <w:pPr>
              <w:jc w:val="both"/>
              <w:rPr>
                <w:rFonts w:ascii="Times New Roman" w:eastAsia="Times New Roman" w:hAnsi="Times New Roman" w:cs="Times New Roman"/>
                <w:color w:val="000000"/>
                <w:sz w:val="24"/>
                <w:szCs w:val="24"/>
                <w:lang w:eastAsia="uk-UA"/>
              </w:rPr>
            </w:pPr>
          </w:p>
        </w:tc>
      </w:tr>
      <w:tr w:rsidR="00BD4D43" w:rsidTr="00BD4D43">
        <w:tc>
          <w:tcPr>
            <w:tcW w:w="3209"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Орган місцевого самоврядування</w:t>
            </w:r>
          </w:p>
        </w:tc>
        <w:tc>
          <w:tcPr>
            <w:tcW w:w="3210" w:type="dxa"/>
          </w:tcPr>
          <w:p w:rsidR="00BD4D43" w:rsidRPr="00881852" w:rsidRDefault="00BD4D43" w:rsidP="00BD4D4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w:t>
            </w:r>
          </w:p>
        </w:tc>
        <w:tc>
          <w:tcPr>
            <w:tcW w:w="3210" w:type="dxa"/>
          </w:tcPr>
          <w:p w:rsidR="00BD4D43" w:rsidRPr="00881852" w:rsidRDefault="00BD4D43" w:rsidP="00BD4D43">
            <w:pPr>
              <w:jc w:val="both"/>
              <w:rPr>
                <w:rFonts w:ascii="Times New Roman" w:eastAsia="Times New Roman" w:hAnsi="Times New Roman" w:cs="Times New Roman"/>
                <w:color w:val="000000"/>
                <w:sz w:val="24"/>
                <w:szCs w:val="24"/>
                <w:lang w:eastAsia="uk-UA"/>
              </w:rPr>
            </w:pPr>
          </w:p>
        </w:tc>
      </w:tr>
      <w:tr w:rsidR="00BD4D43" w:rsidTr="00BD4D43">
        <w:tc>
          <w:tcPr>
            <w:tcW w:w="3209"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Суб’єкти господарювання</w:t>
            </w:r>
          </w:p>
        </w:tc>
        <w:tc>
          <w:tcPr>
            <w:tcW w:w="3210" w:type="dxa"/>
          </w:tcPr>
          <w:p w:rsidR="00BD4D43" w:rsidRPr="00881852" w:rsidRDefault="00BD4D43" w:rsidP="00BD4D4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w:t>
            </w:r>
          </w:p>
        </w:tc>
        <w:tc>
          <w:tcPr>
            <w:tcW w:w="3210" w:type="dxa"/>
          </w:tcPr>
          <w:p w:rsidR="00BD4D43" w:rsidRPr="00881852" w:rsidRDefault="00BD4D43" w:rsidP="00BD4D43">
            <w:pPr>
              <w:jc w:val="both"/>
              <w:rPr>
                <w:rFonts w:ascii="Times New Roman" w:eastAsia="Times New Roman" w:hAnsi="Times New Roman" w:cs="Times New Roman"/>
                <w:color w:val="000000"/>
                <w:sz w:val="24"/>
                <w:szCs w:val="24"/>
                <w:lang w:eastAsia="uk-UA"/>
              </w:rPr>
            </w:pPr>
          </w:p>
        </w:tc>
      </w:tr>
    </w:tbl>
    <w:p w:rsidR="00BD4D43" w:rsidRDefault="00BD4D43"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p>
    <w:p w:rsidR="00BD4D43" w:rsidRDefault="00BD4D43"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p>
    <w:p w:rsidR="00BD4D43" w:rsidRPr="00881852" w:rsidRDefault="00BD4D43"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lastRenderedPageBreak/>
        <w:t>2. Ціль державного регулювання</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Прийняття запропонованого регуляторного акту передбачає вирішення наступних цілей:</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 приведення земельних правовідносин на території </w:t>
      </w:r>
      <w:proofErr w:type="spellStart"/>
      <w:r w:rsidRPr="00881852">
        <w:rPr>
          <w:rFonts w:ascii="Times New Roman" w:eastAsia="Times New Roman" w:hAnsi="Times New Roman" w:cs="Times New Roman"/>
          <w:color w:val="000000"/>
          <w:sz w:val="27"/>
          <w:szCs w:val="27"/>
          <w:lang w:eastAsia="uk-UA"/>
        </w:rPr>
        <w:t>Карпівської</w:t>
      </w:r>
      <w:proofErr w:type="spellEnd"/>
      <w:r w:rsidRPr="00881852">
        <w:rPr>
          <w:rFonts w:ascii="Times New Roman" w:eastAsia="Times New Roman" w:hAnsi="Times New Roman" w:cs="Times New Roman"/>
          <w:color w:val="000000"/>
          <w:sz w:val="27"/>
          <w:szCs w:val="27"/>
          <w:lang w:eastAsia="uk-UA"/>
        </w:rPr>
        <w:t xml:space="preserve"> сільської ради у відповідність до статті 206 Земельного кодексу України. Плата за користування землею буде проведена в повному обсязі за весь період фактичного користування;</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забезпечення ефективного використання землі в інтересах територіальної громади;</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збільшення надходжень до сільського  бюджету та направлення додаткових коштів на соціальний розвиток громади;</w:t>
      </w:r>
    </w:p>
    <w:p w:rsid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забезпечення більш повного обліку земель, їх власників і користувачів, раціонального та ефективного використання земельних ділянок.</w:t>
      </w:r>
    </w:p>
    <w:p w:rsidR="00BD4D43" w:rsidRPr="00881852" w:rsidRDefault="00BD4D43"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p>
    <w:p w:rsidR="00881852" w:rsidRDefault="00881852" w:rsidP="00BD4D43">
      <w:pPr>
        <w:shd w:val="clear" w:color="auto" w:fill="FFFFFF"/>
        <w:spacing w:after="0" w:line="240" w:lineRule="auto"/>
        <w:jc w:val="center"/>
        <w:textAlignment w:val="baseline"/>
        <w:rPr>
          <w:rFonts w:ascii="Times New Roman" w:eastAsia="Times New Roman" w:hAnsi="Times New Roman" w:cs="Times New Roman"/>
          <w:b/>
          <w:bCs/>
          <w:color w:val="000000"/>
          <w:sz w:val="27"/>
          <w:szCs w:val="27"/>
          <w:bdr w:val="none" w:sz="0" w:space="0" w:color="auto" w:frame="1"/>
          <w:lang w:eastAsia="uk-UA"/>
        </w:rPr>
      </w:pPr>
      <w:r w:rsidRPr="00881852">
        <w:rPr>
          <w:rFonts w:ascii="Times New Roman" w:eastAsia="Times New Roman" w:hAnsi="Times New Roman" w:cs="Times New Roman"/>
          <w:b/>
          <w:bCs/>
          <w:color w:val="000000"/>
          <w:sz w:val="27"/>
          <w:szCs w:val="27"/>
          <w:bdr w:val="none" w:sz="0" w:space="0" w:color="auto" w:frame="1"/>
          <w:lang w:eastAsia="uk-UA"/>
        </w:rPr>
        <w:t>3. Визначення та оцінка альтернативних способів досягнення цілей</w:t>
      </w:r>
    </w:p>
    <w:p w:rsid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3.1.Визначення альтернативних способів</w:t>
      </w:r>
    </w:p>
    <w:tbl>
      <w:tblPr>
        <w:tblStyle w:val="a5"/>
        <w:tblW w:w="0" w:type="auto"/>
        <w:tblLook w:val="04A0" w:firstRow="1" w:lastRow="0" w:firstColumn="1" w:lastColumn="0" w:noHBand="0" w:noVBand="1"/>
      </w:tblPr>
      <w:tblGrid>
        <w:gridCol w:w="4814"/>
        <w:gridCol w:w="4815"/>
      </w:tblGrid>
      <w:tr w:rsidR="00BD4D43" w:rsidTr="00BD4D43">
        <w:tc>
          <w:tcPr>
            <w:tcW w:w="4814" w:type="dxa"/>
          </w:tcPr>
          <w:p w:rsidR="00BD4D43" w:rsidRPr="00881852" w:rsidRDefault="00BD4D43" w:rsidP="00BD4D4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Вид альтернативи</w:t>
            </w:r>
          </w:p>
        </w:tc>
        <w:tc>
          <w:tcPr>
            <w:tcW w:w="4815" w:type="dxa"/>
          </w:tcPr>
          <w:p w:rsidR="00BD4D43" w:rsidRPr="00881852" w:rsidRDefault="00BD4D43" w:rsidP="00BD4D4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Опис</w:t>
            </w:r>
            <w:r>
              <w:rPr>
                <w:rFonts w:ascii="Times New Roman" w:eastAsia="Times New Roman" w:hAnsi="Times New Roman" w:cs="Times New Roman"/>
                <w:color w:val="000000"/>
                <w:sz w:val="24"/>
                <w:szCs w:val="24"/>
                <w:lang w:val="ru-RU" w:eastAsia="uk-UA"/>
              </w:rPr>
              <w:t xml:space="preserve"> </w:t>
            </w:r>
            <w:r w:rsidRPr="00881852">
              <w:rPr>
                <w:rFonts w:ascii="Times New Roman" w:eastAsia="Times New Roman" w:hAnsi="Times New Roman" w:cs="Times New Roman"/>
                <w:color w:val="000000"/>
                <w:sz w:val="24"/>
                <w:szCs w:val="24"/>
                <w:lang w:eastAsia="uk-UA"/>
              </w:rPr>
              <w:t>альтернативи</w:t>
            </w:r>
          </w:p>
        </w:tc>
      </w:tr>
      <w:tr w:rsidR="00BD4D43" w:rsidTr="00BD4D43">
        <w:tc>
          <w:tcPr>
            <w:tcW w:w="4814"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Альтернатива 1. Збереження існуючого стану</w:t>
            </w:r>
          </w:p>
        </w:tc>
        <w:tc>
          <w:tcPr>
            <w:tcW w:w="4815"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 xml:space="preserve">Збереження існуючого стану, тобто без прийняття Порядку визначення та відшкодування територіальній громаді в особі </w:t>
            </w:r>
            <w:proofErr w:type="spellStart"/>
            <w:r w:rsidRPr="00881852">
              <w:rPr>
                <w:rFonts w:ascii="Times New Roman" w:eastAsia="Times New Roman" w:hAnsi="Times New Roman" w:cs="Times New Roman"/>
                <w:color w:val="212529"/>
                <w:sz w:val="24"/>
                <w:szCs w:val="24"/>
                <w:lang w:eastAsia="uk-UA"/>
              </w:rPr>
              <w:t>Карпівської</w:t>
            </w:r>
            <w:proofErr w:type="spellEnd"/>
            <w:r w:rsidRPr="00881852">
              <w:rPr>
                <w:rFonts w:ascii="Times New Roman" w:eastAsia="Times New Roman" w:hAnsi="Times New Roman" w:cs="Times New Roman"/>
                <w:color w:val="212529"/>
                <w:sz w:val="24"/>
                <w:szCs w:val="24"/>
                <w:lang w:eastAsia="uk-UA"/>
              </w:rPr>
              <w:t xml:space="preserve"> сільської ради збитків, заподіяних внаслідок порушення вимог земельного законодавства</w:t>
            </w:r>
          </w:p>
        </w:tc>
      </w:tr>
      <w:tr w:rsidR="00BD4D43" w:rsidTr="00BD4D43">
        <w:tc>
          <w:tcPr>
            <w:tcW w:w="4814"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Альтернатива 2. Врегулювання даного питання за допомогою ринкових механізмів</w:t>
            </w:r>
          </w:p>
        </w:tc>
        <w:tc>
          <w:tcPr>
            <w:tcW w:w="4815"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Дана проблема не може бути вирішена за допомогою ринкових механізмів, оскільки вони відсутні та потребує державного регулювання.</w:t>
            </w:r>
          </w:p>
        </w:tc>
      </w:tr>
      <w:tr w:rsidR="00BD4D43" w:rsidTr="00BD4D43">
        <w:tc>
          <w:tcPr>
            <w:tcW w:w="4814"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Альтернатива 3. Прийняття запропонованого проекту рішення</w:t>
            </w:r>
          </w:p>
        </w:tc>
        <w:tc>
          <w:tcPr>
            <w:tcW w:w="4815"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Забезпечить вирішення проблеми. Дана альтернатива є найбільш оптимальною і прийнятною. Перевага обраного способу досягнення цілей полягає в тому, що даним регуляторним актом визначено Порядок відшкодування збитків власникам землі та землекористувачам, заподіяних внаслідок порушення земельного законодавств. Вигода очевидна, витрати мінімальні.</w:t>
            </w:r>
          </w:p>
        </w:tc>
      </w:tr>
    </w:tbl>
    <w:p w:rsidR="00BD4D43" w:rsidRDefault="00BD4D43"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p>
    <w:p w:rsidR="00BD4D43" w:rsidRDefault="00BD4D43"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p>
    <w:p w:rsidR="00BD4D43" w:rsidRPr="00881852" w:rsidRDefault="00BD4D43"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lastRenderedPageBreak/>
        <w:t> </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3.2. Оцінка вибраних альтернативних способів досягнення цілей</w:t>
      </w:r>
    </w:p>
    <w:p w:rsidR="00881852" w:rsidRPr="00881852" w:rsidRDefault="00881852" w:rsidP="00BD4D43">
      <w:pPr>
        <w:shd w:val="clear" w:color="auto" w:fill="FFFFFF"/>
        <w:spacing w:before="600" w:after="0" w:line="360" w:lineRule="atLeast"/>
        <w:jc w:val="both"/>
        <w:textAlignment w:val="baseline"/>
        <w:outlineLvl w:val="2"/>
        <w:rPr>
          <w:rFonts w:ascii="Times New Roman" w:eastAsia="Times New Roman" w:hAnsi="Times New Roman" w:cs="Times New Roman"/>
          <w:b/>
          <w:bCs/>
          <w:color w:val="212529"/>
          <w:sz w:val="36"/>
          <w:szCs w:val="36"/>
          <w:lang w:eastAsia="uk-UA"/>
        </w:rPr>
      </w:pPr>
      <w:r w:rsidRPr="00881852">
        <w:rPr>
          <w:rFonts w:ascii="Times New Roman" w:eastAsia="Times New Roman" w:hAnsi="Times New Roman" w:cs="Times New Roman"/>
          <w:b/>
          <w:bCs/>
          <w:color w:val="212529"/>
          <w:sz w:val="36"/>
          <w:szCs w:val="36"/>
          <w:lang w:eastAsia="uk-UA"/>
        </w:rPr>
        <w:t>Оцінка впливу на сферу інтересів держави (орган місцевого самоврядування)</w:t>
      </w:r>
    </w:p>
    <w:p w:rsidR="00BD4D43"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w:t>
      </w:r>
    </w:p>
    <w:tbl>
      <w:tblPr>
        <w:tblStyle w:val="a5"/>
        <w:tblW w:w="0" w:type="auto"/>
        <w:tblLook w:val="04A0" w:firstRow="1" w:lastRow="0" w:firstColumn="1" w:lastColumn="0" w:noHBand="0" w:noVBand="1"/>
      </w:tblPr>
      <w:tblGrid>
        <w:gridCol w:w="3209"/>
        <w:gridCol w:w="3210"/>
        <w:gridCol w:w="3210"/>
      </w:tblGrid>
      <w:tr w:rsidR="00BD4D43" w:rsidTr="00BD4D43">
        <w:tc>
          <w:tcPr>
            <w:tcW w:w="3209" w:type="dxa"/>
          </w:tcPr>
          <w:p w:rsidR="00BD4D43" w:rsidRPr="00881852" w:rsidRDefault="00BD4D43" w:rsidP="00BD4D4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Вид альтернативи</w:t>
            </w:r>
          </w:p>
        </w:tc>
        <w:tc>
          <w:tcPr>
            <w:tcW w:w="3210" w:type="dxa"/>
          </w:tcPr>
          <w:p w:rsidR="00BD4D43" w:rsidRPr="00881852" w:rsidRDefault="00BD4D43" w:rsidP="00BD4D4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Вигоди</w:t>
            </w:r>
          </w:p>
        </w:tc>
        <w:tc>
          <w:tcPr>
            <w:tcW w:w="3210" w:type="dxa"/>
          </w:tcPr>
          <w:p w:rsidR="00BD4D43" w:rsidRPr="00881852" w:rsidRDefault="00BD4D43" w:rsidP="00BD4D4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Витрати</w:t>
            </w:r>
          </w:p>
        </w:tc>
      </w:tr>
      <w:tr w:rsidR="00BD4D43" w:rsidTr="00BD4D43">
        <w:tc>
          <w:tcPr>
            <w:tcW w:w="3209"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Альтернатива 1</w:t>
            </w:r>
          </w:p>
        </w:tc>
        <w:tc>
          <w:tcPr>
            <w:tcW w:w="3210"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Дана альтернатива є неприйнятною, так як деякі суб’єкти господарювання та фізичні особи не здійснюють належним чином плати за землю, а відсутність механізму нарахування збитків дозволяє їм уникати відповідальності в частині відшкодування збитків власникам землі та землекористувачам, внаслідок порушення земельного законодавства.</w:t>
            </w:r>
          </w:p>
        </w:tc>
        <w:tc>
          <w:tcPr>
            <w:tcW w:w="3210"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відсутні</w:t>
            </w:r>
          </w:p>
        </w:tc>
      </w:tr>
      <w:tr w:rsidR="00BD4D43" w:rsidTr="00BD4D43">
        <w:tc>
          <w:tcPr>
            <w:tcW w:w="3209"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Альтернатива 2</w:t>
            </w:r>
          </w:p>
        </w:tc>
        <w:tc>
          <w:tcPr>
            <w:tcW w:w="3210"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Дана проблема не може бути вирішена за допомогою ринкових механізмів, оскільки вони відсутні та потребує державного регулювання.</w:t>
            </w:r>
          </w:p>
        </w:tc>
        <w:tc>
          <w:tcPr>
            <w:tcW w:w="3210"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відсутні</w:t>
            </w:r>
          </w:p>
        </w:tc>
      </w:tr>
      <w:tr w:rsidR="00BD4D43" w:rsidTr="00BD4D43">
        <w:tc>
          <w:tcPr>
            <w:tcW w:w="3209"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Альтернатива 3</w:t>
            </w:r>
          </w:p>
        </w:tc>
        <w:tc>
          <w:tcPr>
            <w:tcW w:w="3210"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Встановлення єдиної процедури відшкодування збитків власникам землі та землекористувачам, поліпшення контролю за використанням землі та збільшення надходжень до міського бюджету за рахунок відшкодування нарахованих збитків.</w:t>
            </w:r>
          </w:p>
        </w:tc>
        <w:tc>
          <w:tcPr>
            <w:tcW w:w="3210" w:type="dxa"/>
          </w:tcPr>
          <w:p w:rsidR="00BD4D43" w:rsidRPr="00881852" w:rsidRDefault="00BD4D43" w:rsidP="00BD4D4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відсутні</w:t>
            </w:r>
          </w:p>
        </w:tc>
      </w:tr>
    </w:tbl>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vanish/>
          <w:color w:val="212529"/>
          <w:sz w:val="27"/>
          <w:szCs w:val="27"/>
          <w:lang w:eastAsia="uk-UA"/>
        </w:rPr>
      </w:pPr>
    </w:p>
    <w:tbl>
      <w:tblPr>
        <w:tblW w:w="11250" w:type="dxa"/>
        <w:tblCellMar>
          <w:left w:w="0" w:type="dxa"/>
          <w:right w:w="0" w:type="dxa"/>
        </w:tblCellMar>
        <w:tblLook w:val="04A0" w:firstRow="1" w:lastRow="0" w:firstColumn="1" w:lastColumn="0" w:noHBand="0" w:noVBand="1"/>
      </w:tblPr>
      <w:tblGrid>
        <w:gridCol w:w="2764"/>
        <w:gridCol w:w="5968"/>
        <w:gridCol w:w="2518"/>
      </w:tblGrid>
      <w:tr w:rsidR="00881852" w:rsidRPr="00881852" w:rsidTr="00881852">
        <w:tc>
          <w:tcPr>
            <w:tcW w:w="2355" w:type="dxa"/>
            <w:tcBorders>
              <w:left w:val="nil"/>
            </w:tcBorders>
            <w:tcMar>
              <w:top w:w="225" w:type="dxa"/>
              <w:left w:w="75" w:type="dxa"/>
              <w:bottom w:w="225" w:type="dxa"/>
              <w:right w:w="75" w:type="dxa"/>
            </w:tcMar>
            <w:hideMark/>
          </w:tcPr>
          <w:p w:rsid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212529"/>
                <w:sz w:val="27"/>
                <w:szCs w:val="27"/>
                <w:lang w:eastAsia="uk-UA"/>
              </w:rPr>
            </w:pPr>
          </w:p>
          <w:p w:rsidR="00BD4D43" w:rsidRPr="00881852" w:rsidRDefault="00BD4D43" w:rsidP="00881852">
            <w:pPr>
              <w:shd w:val="clear" w:color="auto" w:fill="FFFFFF"/>
              <w:spacing w:after="0" w:line="240" w:lineRule="auto"/>
              <w:jc w:val="both"/>
              <w:textAlignment w:val="baseline"/>
              <w:rPr>
                <w:rFonts w:ascii="Times New Roman" w:eastAsia="Times New Roman" w:hAnsi="Times New Roman" w:cs="Times New Roman"/>
                <w:color w:val="212529"/>
                <w:sz w:val="27"/>
                <w:szCs w:val="27"/>
                <w:lang w:eastAsia="uk-UA"/>
              </w:rPr>
            </w:pPr>
          </w:p>
        </w:tc>
        <w:tc>
          <w:tcPr>
            <w:tcW w:w="5085" w:type="dxa"/>
            <w:tcMar>
              <w:top w:w="225" w:type="dxa"/>
              <w:left w:w="75" w:type="dxa"/>
              <w:bottom w:w="225" w:type="dxa"/>
              <w:right w:w="75" w:type="dxa"/>
            </w:tcMar>
            <w:hideMark/>
          </w:tcPr>
          <w:p w:rsidR="00881852" w:rsidRPr="00881852" w:rsidRDefault="00881852" w:rsidP="00881852">
            <w:pPr>
              <w:spacing w:after="0" w:line="360" w:lineRule="atLeast"/>
              <w:jc w:val="both"/>
              <w:rPr>
                <w:rFonts w:ascii="Times New Roman" w:eastAsia="Times New Roman" w:hAnsi="Times New Roman" w:cs="Times New Roman"/>
                <w:sz w:val="20"/>
                <w:szCs w:val="20"/>
                <w:lang w:eastAsia="uk-UA"/>
              </w:rPr>
            </w:pPr>
          </w:p>
        </w:tc>
        <w:tc>
          <w:tcPr>
            <w:tcW w:w="2145" w:type="dxa"/>
            <w:tcBorders>
              <w:right w:val="nil"/>
            </w:tcBorders>
            <w:tcMar>
              <w:top w:w="225" w:type="dxa"/>
              <w:left w:w="75" w:type="dxa"/>
              <w:bottom w:w="225" w:type="dxa"/>
              <w:right w:w="75" w:type="dxa"/>
            </w:tcMar>
            <w:hideMark/>
          </w:tcPr>
          <w:p w:rsidR="00881852" w:rsidRPr="00881852" w:rsidRDefault="00881852" w:rsidP="00881852">
            <w:pPr>
              <w:spacing w:after="0" w:line="360" w:lineRule="atLeast"/>
              <w:jc w:val="both"/>
              <w:rPr>
                <w:rFonts w:ascii="Times New Roman" w:eastAsia="Times New Roman" w:hAnsi="Times New Roman" w:cs="Times New Roman"/>
                <w:sz w:val="20"/>
                <w:szCs w:val="20"/>
                <w:lang w:eastAsia="uk-UA"/>
              </w:rPr>
            </w:pPr>
          </w:p>
        </w:tc>
      </w:tr>
    </w:tbl>
    <w:p w:rsid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lastRenderedPageBreak/>
        <w:t>Оцінка впливу на сферу інтересів суб’єктів господарювання</w:t>
      </w:r>
    </w:p>
    <w:tbl>
      <w:tblPr>
        <w:tblStyle w:val="a5"/>
        <w:tblW w:w="0" w:type="auto"/>
        <w:tblLook w:val="04A0" w:firstRow="1" w:lastRow="0" w:firstColumn="1" w:lastColumn="0" w:noHBand="0" w:noVBand="1"/>
      </w:tblPr>
      <w:tblGrid>
        <w:gridCol w:w="2091"/>
        <w:gridCol w:w="1518"/>
        <w:gridCol w:w="1527"/>
        <w:gridCol w:w="1487"/>
        <w:gridCol w:w="1507"/>
        <w:gridCol w:w="1499"/>
      </w:tblGrid>
      <w:tr w:rsidR="00D02473" w:rsidTr="00D02473">
        <w:tc>
          <w:tcPr>
            <w:tcW w:w="2091" w:type="dxa"/>
          </w:tcPr>
          <w:p w:rsidR="00D02473" w:rsidRDefault="00D02473" w:rsidP="00D02473">
            <w:pPr>
              <w:pStyle w:val="3"/>
              <w:spacing w:before="0" w:beforeAutospacing="0" w:after="0" w:afterAutospacing="0" w:line="360" w:lineRule="atLeast"/>
              <w:jc w:val="center"/>
              <w:textAlignment w:val="baseline"/>
              <w:rPr>
                <w:rFonts w:ascii="ProbaPro" w:hAnsi="ProbaPro"/>
                <w:b w:val="0"/>
                <w:bCs w:val="0"/>
                <w:color w:val="212529"/>
                <w:sz w:val="24"/>
                <w:szCs w:val="24"/>
              </w:rPr>
            </w:pPr>
            <w:r>
              <w:rPr>
                <w:rFonts w:ascii="ProbaPro" w:hAnsi="ProbaPro"/>
                <w:b w:val="0"/>
                <w:bCs w:val="0"/>
                <w:color w:val="2D5CA6"/>
                <w:sz w:val="24"/>
                <w:szCs w:val="24"/>
                <w:bdr w:val="none" w:sz="0" w:space="0" w:color="auto" w:frame="1"/>
              </w:rPr>
              <w:t>Показник</w:t>
            </w:r>
          </w:p>
        </w:tc>
        <w:tc>
          <w:tcPr>
            <w:tcW w:w="1518" w:type="dxa"/>
          </w:tcPr>
          <w:p w:rsidR="00D02473" w:rsidRDefault="00D02473" w:rsidP="00D02473">
            <w:pPr>
              <w:pStyle w:val="3"/>
              <w:spacing w:before="0" w:beforeAutospacing="0" w:after="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D5CA6"/>
                <w:sz w:val="24"/>
                <w:szCs w:val="24"/>
                <w:bdr w:val="none" w:sz="0" w:space="0" w:color="auto" w:frame="1"/>
              </w:rPr>
              <w:t> Великі</w:t>
            </w:r>
          </w:p>
        </w:tc>
        <w:tc>
          <w:tcPr>
            <w:tcW w:w="1527" w:type="dxa"/>
          </w:tcPr>
          <w:p w:rsidR="00D02473" w:rsidRDefault="00D02473" w:rsidP="00D02473">
            <w:pPr>
              <w:pStyle w:val="3"/>
              <w:spacing w:before="0" w:beforeAutospacing="0" w:after="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D5CA6"/>
                <w:sz w:val="24"/>
                <w:szCs w:val="24"/>
                <w:bdr w:val="none" w:sz="0" w:space="0" w:color="auto" w:frame="1"/>
              </w:rPr>
              <w:t>Середні</w:t>
            </w:r>
          </w:p>
        </w:tc>
        <w:tc>
          <w:tcPr>
            <w:tcW w:w="1487" w:type="dxa"/>
          </w:tcPr>
          <w:p w:rsidR="00D02473" w:rsidRDefault="00D02473" w:rsidP="00D02473">
            <w:pPr>
              <w:pStyle w:val="3"/>
              <w:spacing w:before="0" w:beforeAutospacing="0" w:after="45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12529"/>
                <w:sz w:val="24"/>
                <w:szCs w:val="24"/>
              </w:rPr>
              <w:t> Малі</w:t>
            </w:r>
          </w:p>
        </w:tc>
        <w:tc>
          <w:tcPr>
            <w:tcW w:w="1507" w:type="dxa"/>
          </w:tcPr>
          <w:p w:rsidR="00D02473" w:rsidRDefault="00D02473" w:rsidP="00D02473">
            <w:pPr>
              <w:pStyle w:val="3"/>
              <w:spacing w:before="0" w:beforeAutospacing="0" w:after="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D5CA6"/>
                <w:sz w:val="24"/>
                <w:szCs w:val="24"/>
                <w:bdr w:val="none" w:sz="0" w:space="0" w:color="auto" w:frame="1"/>
              </w:rPr>
              <w:t> Мікро</w:t>
            </w:r>
          </w:p>
        </w:tc>
        <w:tc>
          <w:tcPr>
            <w:tcW w:w="1499" w:type="dxa"/>
          </w:tcPr>
          <w:p w:rsidR="00D02473" w:rsidRDefault="00D02473" w:rsidP="00D02473">
            <w:pPr>
              <w:pStyle w:val="3"/>
              <w:spacing w:before="0" w:beforeAutospacing="0" w:after="45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12529"/>
                <w:sz w:val="24"/>
                <w:szCs w:val="24"/>
              </w:rPr>
              <w:t>Разом</w:t>
            </w:r>
          </w:p>
        </w:tc>
      </w:tr>
      <w:tr w:rsidR="00D02473" w:rsidTr="00D02473">
        <w:tc>
          <w:tcPr>
            <w:tcW w:w="2091" w:type="dxa"/>
          </w:tcPr>
          <w:p w:rsidR="00D02473" w:rsidRDefault="00D02473" w:rsidP="00D02473">
            <w:pPr>
              <w:pStyle w:val="3"/>
              <w:spacing w:before="0" w:beforeAutospacing="0" w:after="450" w:afterAutospacing="0" w:line="360" w:lineRule="atLeast"/>
              <w:textAlignment w:val="baseline"/>
              <w:outlineLvl w:val="2"/>
              <w:rPr>
                <w:rFonts w:ascii="ProbaPro" w:hAnsi="ProbaPro"/>
                <w:b w:val="0"/>
                <w:bCs w:val="0"/>
                <w:color w:val="212529"/>
                <w:sz w:val="24"/>
                <w:szCs w:val="24"/>
              </w:rPr>
            </w:pPr>
            <w:r>
              <w:rPr>
                <w:rFonts w:ascii="ProbaPro" w:hAnsi="ProbaPro"/>
                <w:b w:val="0"/>
                <w:bCs w:val="0"/>
                <w:color w:val="212529"/>
                <w:sz w:val="24"/>
                <w:szCs w:val="24"/>
              </w:rPr>
              <w:t>Кількість суб’єктів господарювання, що підпадають під дію регулювання, одиниць</w:t>
            </w:r>
          </w:p>
        </w:tc>
        <w:tc>
          <w:tcPr>
            <w:tcW w:w="1518" w:type="dxa"/>
          </w:tcPr>
          <w:p w:rsidR="00D02473" w:rsidRDefault="00D02473" w:rsidP="00D02473">
            <w:pPr>
              <w:pStyle w:val="3"/>
              <w:spacing w:before="0" w:beforeAutospacing="0" w:after="45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12529"/>
                <w:sz w:val="24"/>
                <w:szCs w:val="24"/>
              </w:rPr>
              <w:t>*</w:t>
            </w:r>
          </w:p>
        </w:tc>
        <w:tc>
          <w:tcPr>
            <w:tcW w:w="1527" w:type="dxa"/>
          </w:tcPr>
          <w:p w:rsidR="00D02473" w:rsidRDefault="00D02473" w:rsidP="00D02473">
            <w:pPr>
              <w:pStyle w:val="3"/>
              <w:spacing w:before="0" w:beforeAutospacing="0" w:after="45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12529"/>
                <w:sz w:val="24"/>
                <w:szCs w:val="24"/>
              </w:rPr>
              <w:t>*</w:t>
            </w:r>
          </w:p>
        </w:tc>
        <w:tc>
          <w:tcPr>
            <w:tcW w:w="1487"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w:t>
            </w:r>
          </w:p>
        </w:tc>
        <w:tc>
          <w:tcPr>
            <w:tcW w:w="1507"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w:t>
            </w:r>
          </w:p>
        </w:tc>
        <w:tc>
          <w:tcPr>
            <w:tcW w:w="1499"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w:t>
            </w:r>
          </w:p>
        </w:tc>
      </w:tr>
      <w:tr w:rsidR="00D02473" w:rsidTr="00D02473">
        <w:tc>
          <w:tcPr>
            <w:tcW w:w="2091" w:type="dxa"/>
          </w:tcPr>
          <w:p w:rsidR="00D02473" w:rsidRDefault="00D02473" w:rsidP="00D02473">
            <w:pPr>
              <w:pStyle w:val="3"/>
              <w:spacing w:before="0" w:beforeAutospacing="0" w:after="450" w:afterAutospacing="0" w:line="360" w:lineRule="atLeast"/>
              <w:textAlignment w:val="baseline"/>
              <w:rPr>
                <w:rFonts w:ascii="ProbaPro" w:hAnsi="ProbaPro"/>
                <w:b w:val="0"/>
                <w:bCs w:val="0"/>
                <w:color w:val="212529"/>
                <w:sz w:val="24"/>
                <w:szCs w:val="24"/>
              </w:rPr>
            </w:pPr>
            <w:r>
              <w:rPr>
                <w:rFonts w:ascii="ProbaPro" w:hAnsi="ProbaPro"/>
                <w:b w:val="0"/>
                <w:bCs w:val="0"/>
                <w:color w:val="212529"/>
                <w:sz w:val="24"/>
                <w:szCs w:val="24"/>
              </w:rPr>
              <w:t>Питома вага групи у загальній кількості, відсотків</w:t>
            </w:r>
          </w:p>
        </w:tc>
        <w:tc>
          <w:tcPr>
            <w:tcW w:w="1518"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w:t>
            </w:r>
          </w:p>
        </w:tc>
        <w:tc>
          <w:tcPr>
            <w:tcW w:w="1527"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w:t>
            </w:r>
          </w:p>
        </w:tc>
        <w:tc>
          <w:tcPr>
            <w:tcW w:w="1487"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w:t>
            </w:r>
          </w:p>
        </w:tc>
        <w:tc>
          <w:tcPr>
            <w:tcW w:w="1507"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w:t>
            </w:r>
          </w:p>
        </w:tc>
        <w:tc>
          <w:tcPr>
            <w:tcW w:w="1499"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w:t>
            </w:r>
          </w:p>
        </w:tc>
      </w:tr>
    </w:tbl>
    <w:p w:rsidR="00BD4D43" w:rsidRPr="00881852" w:rsidRDefault="00BD4D43"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p>
    <w:p w:rsidR="00881852" w:rsidRDefault="00881852" w:rsidP="00D02473">
      <w:pPr>
        <w:shd w:val="clear" w:color="auto" w:fill="FFFFFF"/>
        <w:spacing w:after="0" w:line="240" w:lineRule="auto"/>
        <w:jc w:val="both"/>
        <w:textAlignment w:val="baseline"/>
        <w:rPr>
          <w:rFonts w:ascii="Times New Roman" w:eastAsia="Times New Roman" w:hAnsi="Times New Roman" w:cs="Times New Roman"/>
          <w:b/>
          <w:bCs/>
          <w:color w:val="212529"/>
          <w:sz w:val="36"/>
          <w:szCs w:val="36"/>
          <w:lang w:eastAsia="uk-UA"/>
        </w:rPr>
      </w:pPr>
      <w:r w:rsidRPr="00881852">
        <w:rPr>
          <w:rFonts w:ascii="Times New Roman" w:eastAsia="Times New Roman" w:hAnsi="Times New Roman" w:cs="Times New Roman"/>
          <w:b/>
          <w:bCs/>
          <w:color w:val="000000"/>
          <w:sz w:val="27"/>
          <w:szCs w:val="27"/>
          <w:bdr w:val="none" w:sz="0" w:space="0" w:color="auto" w:frame="1"/>
          <w:lang w:eastAsia="uk-UA"/>
        </w:rPr>
        <w:t> </w:t>
      </w:r>
      <w:r w:rsidRPr="00881852">
        <w:rPr>
          <w:rFonts w:ascii="Times New Roman" w:eastAsia="Times New Roman" w:hAnsi="Times New Roman" w:cs="Times New Roman"/>
          <w:b/>
          <w:bCs/>
          <w:color w:val="212529"/>
          <w:sz w:val="36"/>
          <w:szCs w:val="36"/>
          <w:lang w:eastAsia="uk-UA"/>
        </w:rPr>
        <w:t>  * визначити кількість суб’єктів господарювання, що підпадають під дію регулювання неможливо, оскільки даний акт стосується лише суб’єктів господарювання, які порушують вимоги чинного законодавства у сфері земельних відносин.</w:t>
      </w:r>
    </w:p>
    <w:tbl>
      <w:tblPr>
        <w:tblStyle w:val="a5"/>
        <w:tblW w:w="0" w:type="auto"/>
        <w:tblLook w:val="04A0" w:firstRow="1" w:lastRow="0" w:firstColumn="1" w:lastColumn="0" w:noHBand="0" w:noVBand="1"/>
      </w:tblPr>
      <w:tblGrid>
        <w:gridCol w:w="3209"/>
        <w:gridCol w:w="3210"/>
        <w:gridCol w:w="3210"/>
      </w:tblGrid>
      <w:tr w:rsidR="00D02473" w:rsidTr="00D02473">
        <w:tc>
          <w:tcPr>
            <w:tcW w:w="3209" w:type="dxa"/>
          </w:tcPr>
          <w:p w:rsidR="00D02473" w:rsidRDefault="00D02473" w:rsidP="00D02473">
            <w:pPr>
              <w:pStyle w:val="3"/>
              <w:spacing w:before="0" w:beforeAutospacing="0" w:after="450" w:afterAutospacing="0" w:line="360" w:lineRule="atLeast"/>
              <w:jc w:val="center"/>
              <w:textAlignment w:val="baseline"/>
              <w:rPr>
                <w:rFonts w:ascii="ProbaPro" w:hAnsi="ProbaPro"/>
                <w:b w:val="0"/>
                <w:bCs w:val="0"/>
                <w:color w:val="212529"/>
                <w:sz w:val="24"/>
                <w:szCs w:val="24"/>
              </w:rPr>
            </w:pPr>
            <w:r>
              <w:rPr>
                <w:rFonts w:ascii="ProbaPro" w:hAnsi="ProbaPro"/>
                <w:b w:val="0"/>
                <w:bCs w:val="0"/>
                <w:color w:val="212529"/>
                <w:sz w:val="24"/>
                <w:szCs w:val="24"/>
              </w:rPr>
              <w:t>Вид альтернативи</w:t>
            </w:r>
          </w:p>
        </w:tc>
        <w:tc>
          <w:tcPr>
            <w:tcW w:w="3210" w:type="dxa"/>
          </w:tcPr>
          <w:p w:rsidR="00D02473" w:rsidRDefault="00D02473" w:rsidP="00D02473">
            <w:pPr>
              <w:pStyle w:val="3"/>
              <w:spacing w:before="0" w:beforeAutospacing="0" w:after="45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12529"/>
                <w:sz w:val="24"/>
                <w:szCs w:val="24"/>
              </w:rPr>
              <w:t>Вигоди</w:t>
            </w:r>
          </w:p>
        </w:tc>
        <w:tc>
          <w:tcPr>
            <w:tcW w:w="3210" w:type="dxa"/>
          </w:tcPr>
          <w:p w:rsidR="00D02473" w:rsidRDefault="00D02473" w:rsidP="00D02473">
            <w:pPr>
              <w:pStyle w:val="3"/>
              <w:spacing w:before="0" w:beforeAutospacing="0" w:after="45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12529"/>
                <w:sz w:val="24"/>
                <w:szCs w:val="24"/>
              </w:rPr>
              <w:t>Витрати</w:t>
            </w:r>
          </w:p>
        </w:tc>
      </w:tr>
      <w:tr w:rsidR="00D02473" w:rsidTr="00D02473">
        <w:tc>
          <w:tcPr>
            <w:tcW w:w="3209" w:type="dxa"/>
          </w:tcPr>
          <w:p w:rsidR="00D02473" w:rsidRDefault="00D02473" w:rsidP="00D02473">
            <w:pPr>
              <w:spacing w:line="360" w:lineRule="atLeast"/>
              <w:rPr>
                <w:rFonts w:ascii="ProbaPro" w:hAnsi="ProbaPro"/>
                <w:color w:val="212529"/>
                <w:sz w:val="24"/>
                <w:szCs w:val="24"/>
              </w:rPr>
            </w:pPr>
            <w:r>
              <w:rPr>
                <w:rFonts w:ascii="ProbaPro" w:hAnsi="ProbaPro"/>
                <w:color w:val="212529"/>
              </w:rPr>
              <w:t>Альтернатива 1</w:t>
            </w:r>
          </w:p>
        </w:tc>
        <w:tc>
          <w:tcPr>
            <w:tcW w:w="3210" w:type="dxa"/>
          </w:tcPr>
          <w:p w:rsidR="00D02473" w:rsidRDefault="00D02473" w:rsidP="00D02473">
            <w:pPr>
              <w:pStyle w:val="3"/>
              <w:spacing w:before="0" w:beforeAutospacing="0" w:after="450" w:afterAutospacing="0" w:line="360" w:lineRule="atLeast"/>
              <w:jc w:val="center"/>
              <w:textAlignment w:val="baseline"/>
              <w:rPr>
                <w:rFonts w:ascii="ProbaPro" w:hAnsi="ProbaPro"/>
                <w:b w:val="0"/>
                <w:bCs w:val="0"/>
                <w:color w:val="212529"/>
                <w:sz w:val="24"/>
                <w:szCs w:val="24"/>
              </w:rPr>
            </w:pPr>
            <w:r>
              <w:rPr>
                <w:rFonts w:ascii="ProbaPro" w:hAnsi="ProbaPro"/>
                <w:b w:val="0"/>
                <w:bCs w:val="0"/>
                <w:color w:val="212529"/>
                <w:sz w:val="24"/>
                <w:szCs w:val="24"/>
              </w:rPr>
              <w:t>-</w:t>
            </w:r>
          </w:p>
        </w:tc>
        <w:tc>
          <w:tcPr>
            <w:tcW w:w="3210" w:type="dxa"/>
          </w:tcPr>
          <w:p w:rsidR="00D02473" w:rsidRDefault="00D02473" w:rsidP="00D02473">
            <w:pPr>
              <w:pStyle w:val="3"/>
              <w:spacing w:before="0" w:beforeAutospacing="0" w:after="45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12529"/>
                <w:sz w:val="24"/>
                <w:szCs w:val="24"/>
              </w:rPr>
              <w:t>відсутні</w:t>
            </w:r>
          </w:p>
        </w:tc>
      </w:tr>
      <w:tr w:rsidR="00D02473" w:rsidTr="00D02473">
        <w:tc>
          <w:tcPr>
            <w:tcW w:w="3209" w:type="dxa"/>
          </w:tcPr>
          <w:p w:rsidR="00D02473" w:rsidRDefault="00D02473" w:rsidP="00D02473">
            <w:pPr>
              <w:spacing w:line="360" w:lineRule="atLeast"/>
              <w:rPr>
                <w:rFonts w:ascii="ProbaPro" w:hAnsi="ProbaPro"/>
                <w:color w:val="212529"/>
                <w:sz w:val="24"/>
                <w:szCs w:val="24"/>
              </w:rPr>
            </w:pPr>
            <w:r>
              <w:rPr>
                <w:rFonts w:ascii="ProbaPro" w:hAnsi="ProbaPro"/>
                <w:color w:val="212529"/>
              </w:rPr>
              <w:t>Альтернатива 2</w:t>
            </w:r>
          </w:p>
        </w:tc>
        <w:tc>
          <w:tcPr>
            <w:tcW w:w="3210" w:type="dxa"/>
          </w:tcPr>
          <w:p w:rsidR="00D02473" w:rsidRDefault="00D02473" w:rsidP="00D02473">
            <w:pPr>
              <w:pStyle w:val="3"/>
              <w:spacing w:before="0" w:beforeAutospacing="0" w:after="450" w:afterAutospacing="0" w:line="360" w:lineRule="atLeast"/>
              <w:jc w:val="center"/>
              <w:textAlignment w:val="baseline"/>
              <w:rPr>
                <w:rFonts w:ascii="ProbaPro" w:hAnsi="ProbaPro"/>
                <w:b w:val="0"/>
                <w:bCs w:val="0"/>
                <w:color w:val="212529"/>
                <w:sz w:val="24"/>
                <w:szCs w:val="24"/>
              </w:rPr>
            </w:pPr>
            <w:r>
              <w:rPr>
                <w:rFonts w:ascii="ProbaPro" w:hAnsi="ProbaPro"/>
                <w:b w:val="0"/>
                <w:bCs w:val="0"/>
                <w:color w:val="212529"/>
                <w:sz w:val="24"/>
                <w:szCs w:val="24"/>
              </w:rPr>
              <w:t>-</w:t>
            </w:r>
          </w:p>
        </w:tc>
        <w:tc>
          <w:tcPr>
            <w:tcW w:w="3210" w:type="dxa"/>
          </w:tcPr>
          <w:p w:rsidR="00D02473" w:rsidRDefault="00D02473" w:rsidP="00D02473">
            <w:pPr>
              <w:pStyle w:val="3"/>
              <w:spacing w:before="0" w:beforeAutospacing="0" w:after="45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12529"/>
                <w:sz w:val="24"/>
                <w:szCs w:val="24"/>
              </w:rPr>
              <w:t>відсутні</w:t>
            </w:r>
          </w:p>
        </w:tc>
      </w:tr>
      <w:tr w:rsidR="00D02473" w:rsidTr="00D02473">
        <w:tc>
          <w:tcPr>
            <w:tcW w:w="3209" w:type="dxa"/>
          </w:tcPr>
          <w:p w:rsidR="00D02473" w:rsidRDefault="00D02473" w:rsidP="00D02473">
            <w:pPr>
              <w:spacing w:line="360" w:lineRule="atLeast"/>
              <w:rPr>
                <w:rFonts w:ascii="ProbaPro" w:hAnsi="ProbaPro"/>
                <w:color w:val="212529"/>
                <w:sz w:val="24"/>
                <w:szCs w:val="24"/>
              </w:rPr>
            </w:pPr>
            <w:r>
              <w:rPr>
                <w:rFonts w:ascii="ProbaPro" w:hAnsi="ProbaPro"/>
                <w:color w:val="212529"/>
              </w:rPr>
              <w:t>Альтернатива 3</w:t>
            </w:r>
          </w:p>
        </w:tc>
        <w:tc>
          <w:tcPr>
            <w:tcW w:w="3210" w:type="dxa"/>
          </w:tcPr>
          <w:p w:rsidR="00D02473" w:rsidRDefault="00D02473" w:rsidP="00D02473">
            <w:pPr>
              <w:pStyle w:val="3"/>
              <w:spacing w:before="0" w:beforeAutospacing="0" w:after="450" w:afterAutospacing="0" w:line="360" w:lineRule="atLeast"/>
              <w:textAlignment w:val="baseline"/>
              <w:rPr>
                <w:rFonts w:ascii="ProbaPro" w:hAnsi="ProbaPro"/>
                <w:b w:val="0"/>
                <w:bCs w:val="0"/>
                <w:color w:val="212529"/>
                <w:sz w:val="24"/>
                <w:szCs w:val="24"/>
              </w:rPr>
            </w:pPr>
            <w:r>
              <w:rPr>
                <w:rFonts w:ascii="ProbaPro" w:hAnsi="ProbaPro"/>
                <w:b w:val="0"/>
                <w:bCs w:val="0"/>
                <w:color w:val="212529"/>
                <w:sz w:val="24"/>
                <w:szCs w:val="24"/>
              </w:rPr>
              <w:t xml:space="preserve">Встановлення єдиної процедури відшкодування збитків власникам землі та землекористувачам, поліпшення контролю за використанням землі та збільшення надходжень до сільського  бюджету за </w:t>
            </w:r>
            <w:r>
              <w:rPr>
                <w:rFonts w:ascii="ProbaPro" w:hAnsi="ProbaPro"/>
                <w:b w:val="0"/>
                <w:bCs w:val="0"/>
                <w:color w:val="212529"/>
                <w:sz w:val="24"/>
                <w:szCs w:val="24"/>
              </w:rPr>
              <w:lastRenderedPageBreak/>
              <w:t>рахунок відшкодування нарахованих збитків.</w:t>
            </w:r>
          </w:p>
        </w:tc>
        <w:tc>
          <w:tcPr>
            <w:tcW w:w="3210" w:type="dxa"/>
          </w:tcPr>
          <w:p w:rsidR="00D02473" w:rsidRDefault="00D02473" w:rsidP="00D02473">
            <w:pPr>
              <w:pStyle w:val="3"/>
              <w:spacing w:before="0" w:beforeAutospacing="0" w:after="450" w:afterAutospacing="0" w:line="360" w:lineRule="atLeast"/>
              <w:jc w:val="center"/>
              <w:textAlignment w:val="baseline"/>
              <w:outlineLvl w:val="2"/>
              <w:rPr>
                <w:rFonts w:ascii="ProbaPro" w:hAnsi="ProbaPro"/>
                <w:b w:val="0"/>
                <w:bCs w:val="0"/>
                <w:color w:val="212529"/>
                <w:sz w:val="24"/>
                <w:szCs w:val="24"/>
              </w:rPr>
            </w:pPr>
            <w:r>
              <w:rPr>
                <w:rFonts w:ascii="ProbaPro" w:hAnsi="ProbaPro"/>
                <w:b w:val="0"/>
                <w:bCs w:val="0"/>
                <w:color w:val="212529"/>
                <w:sz w:val="24"/>
                <w:szCs w:val="24"/>
              </w:rPr>
              <w:lastRenderedPageBreak/>
              <w:t>відсутні</w:t>
            </w:r>
          </w:p>
        </w:tc>
      </w:tr>
    </w:tbl>
    <w:p w:rsidR="00D02473" w:rsidRPr="00881852" w:rsidRDefault="00D02473" w:rsidP="00D02473">
      <w:pPr>
        <w:shd w:val="clear" w:color="auto" w:fill="FFFFFF"/>
        <w:spacing w:after="0" w:line="240" w:lineRule="auto"/>
        <w:jc w:val="both"/>
        <w:textAlignment w:val="baseline"/>
        <w:rPr>
          <w:rFonts w:ascii="Times New Roman" w:eastAsia="Times New Roman" w:hAnsi="Times New Roman" w:cs="Times New Roman"/>
          <w:b/>
          <w:bCs/>
          <w:color w:val="212529"/>
          <w:sz w:val="36"/>
          <w:szCs w:val="36"/>
          <w:lang w:eastAsia="uk-UA"/>
        </w:rPr>
      </w:pP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4. Вибір найбільш оптимального альтернативного</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способу досягнення цілей</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w:t>
      </w:r>
    </w:p>
    <w:p w:rsid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Вибір оптимального альтернативного способу досягнення цілей здійснено з урахуванням системи бальної оцінки ступеня досягнення визначених цілей.</w:t>
      </w:r>
    </w:p>
    <w:tbl>
      <w:tblPr>
        <w:tblStyle w:val="a5"/>
        <w:tblW w:w="0" w:type="auto"/>
        <w:tblLook w:val="04A0" w:firstRow="1" w:lastRow="0" w:firstColumn="1" w:lastColumn="0" w:noHBand="0" w:noVBand="1"/>
      </w:tblPr>
      <w:tblGrid>
        <w:gridCol w:w="3209"/>
        <w:gridCol w:w="3210"/>
        <w:gridCol w:w="3210"/>
      </w:tblGrid>
      <w:tr w:rsidR="00D02473" w:rsidTr="00D02473">
        <w:tc>
          <w:tcPr>
            <w:tcW w:w="3209" w:type="dxa"/>
          </w:tcPr>
          <w:p w:rsidR="00D02473" w:rsidRPr="00881852" w:rsidRDefault="00D02473" w:rsidP="00D0247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Рейтинг результативності (досягнення цілей під час вирішення проблеми)</w:t>
            </w:r>
          </w:p>
        </w:tc>
        <w:tc>
          <w:tcPr>
            <w:tcW w:w="3210" w:type="dxa"/>
          </w:tcPr>
          <w:p w:rsidR="00D02473" w:rsidRPr="00881852" w:rsidRDefault="00D02473" w:rsidP="00D0247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Бал результативності (за чотирибальною системою оцінки)</w:t>
            </w:r>
          </w:p>
        </w:tc>
        <w:tc>
          <w:tcPr>
            <w:tcW w:w="3210" w:type="dxa"/>
          </w:tcPr>
          <w:p w:rsidR="00D02473" w:rsidRPr="00881852" w:rsidRDefault="00D02473" w:rsidP="00D0247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 xml:space="preserve">Коментарі щодо присвоєння відповідного </w:t>
            </w:r>
            <w:proofErr w:type="spellStart"/>
            <w:r w:rsidRPr="00881852">
              <w:rPr>
                <w:rFonts w:ascii="Times New Roman" w:eastAsia="Times New Roman" w:hAnsi="Times New Roman" w:cs="Times New Roman"/>
                <w:color w:val="000000"/>
                <w:sz w:val="24"/>
                <w:szCs w:val="24"/>
                <w:lang w:eastAsia="uk-UA"/>
              </w:rPr>
              <w:t>бала</w:t>
            </w:r>
            <w:proofErr w:type="spellEnd"/>
          </w:p>
        </w:tc>
      </w:tr>
      <w:tr w:rsidR="00D02473" w:rsidTr="00D02473">
        <w:tc>
          <w:tcPr>
            <w:tcW w:w="3209" w:type="dxa"/>
          </w:tcPr>
          <w:p w:rsidR="00D02473" w:rsidRPr="00881852" w:rsidRDefault="00D02473" w:rsidP="00D0247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Альтернатива 1</w:t>
            </w:r>
          </w:p>
        </w:tc>
        <w:tc>
          <w:tcPr>
            <w:tcW w:w="3210" w:type="dxa"/>
          </w:tcPr>
          <w:p w:rsidR="00D02473" w:rsidRPr="00881852" w:rsidRDefault="00D02473" w:rsidP="00D0247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2</w:t>
            </w:r>
          </w:p>
        </w:tc>
        <w:tc>
          <w:tcPr>
            <w:tcW w:w="3210" w:type="dxa"/>
          </w:tcPr>
          <w:p w:rsidR="00D02473" w:rsidRPr="00881852" w:rsidRDefault="00D02473" w:rsidP="00D0247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важливі аспекти проблеми існуватимуть далі</w:t>
            </w:r>
          </w:p>
        </w:tc>
      </w:tr>
      <w:tr w:rsidR="00D02473" w:rsidTr="00D02473">
        <w:tc>
          <w:tcPr>
            <w:tcW w:w="3209" w:type="dxa"/>
          </w:tcPr>
          <w:p w:rsidR="00D02473" w:rsidRPr="00881852" w:rsidRDefault="00D02473" w:rsidP="00D0247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Альтернатива 2</w:t>
            </w:r>
          </w:p>
        </w:tc>
        <w:tc>
          <w:tcPr>
            <w:tcW w:w="3210" w:type="dxa"/>
          </w:tcPr>
          <w:p w:rsidR="00D02473" w:rsidRPr="00881852" w:rsidRDefault="00D02473" w:rsidP="00D0247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1</w:t>
            </w:r>
          </w:p>
        </w:tc>
        <w:tc>
          <w:tcPr>
            <w:tcW w:w="3210" w:type="dxa"/>
          </w:tcPr>
          <w:p w:rsidR="00D02473" w:rsidRPr="00881852" w:rsidRDefault="00D02473" w:rsidP="00D0247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 xml:space="preserve">цілі прийняття регуляторного </w:t>
            </w:r>
            <w:proofErr w:type="spellStart"/>
            <w:r w:rsidRPr="00881852">
              <w:rPr>
                <w:rFonts w:ascii="Times New Roman" w:eastAsia="Times New Roman" w:hAnsi="Times New Roman" w:cs="Times New Roman"/>
                <w:color w:val="212529"/>
                <w:sz w:val="24"/>
                <w:szCs w:val="24"/>
                <w:lang w:eastAsia="uk-UA"/>
              </w:rPr>
              <w:t>акта</w:t>
            </w:r>
            <w:proofErr w:type="spellEnd"/>
            <w:r w:rsidRPr="00881852">
              <w:rPr>
                <w:rFonts w:ascii="Times New Roman" w:eastAsia="Times New Roman" w:hAnsi="Times New Roman" w:cs="Times New Roman"/>
                <w:color w:val="212529"/>
                <w:sz w:val="24"/>
                <w:szCs w:val="24"/>
                <w:lang w:eastAsia="uk-UA"/>
              </w:rPr>
              <w:t>, які не можуть бути досягнуті</w:t>
            </w:r>
          </w:p>
        </w:tc>
      </w:tr>
      <w:tr w:rsidR="00D02473" w:rsidTr="00D02473">
        <w:tc>
          <w:tcPr>
            <w:tcW w:w="3209" w:type="dxa"/>
          </w:tcPr>
          <w:p w:rsidR="00D02473" w:rsidRPr="00881852" w:rsidRDefault="00D02473" w:rsidP="00D0247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Альтернатива 3</w:t>
            </w:r>
          </w:p>
        </w:tc>
        <w:tc>
          <w:tcPr>
            <w:tcW w:w="3210" w:type="dxa"/>
          </w:tcPr>
          <w:p w:rsidR="00D02473" w:rsidRPr="00881852" w:rsidRDefault="00D02473" w:rsidP="00D02473">
            <w:pPr>
              <w:spacing w:after="150" w:line="360" w:lineRule="atLeast"/>
              <w:jc w:val="both"/>
              <w:textAlignment w:val="baseline"/>
              <w:rPr>
                <w:rFonts w:ascii="Times New Roman" w:eastAsia="Times New Roman" w:hAnsi="Times New Roman" w:cs="Times New Roman"/>
                <w:color w:val="000000"/>
                <w:sz w:val="24"/>
                <w:szCs w:val="24"/>
                <w:lang w:eastAsia="uk-UA"/>
              </w:rPr>
            </w:pPr>
            <w:r w:rsidRPr="00881852">
              <w:rPr>
                <w:rFonts w:ascii="Times New Roman" w:eastAsia="Times New Roman" w:hAnsi="Times New Roman" w:cs="Times New Roman"/>
                <w:color w:val="000000"/>
                <w:sz w:val="24"/>
                <w:szCs w:val="24"/>
                <w:lang w:eastAsia="uk-UA"/>
              </w:rPr>
              <w:t>3</w:t>
            </w:r>
          </w:p>
        </w:tc>
        <w:tc>
          <w:tcPr>
            <w:tcW w:w="3210" w:type="dxa"/>
          </w:tcPr>
          <w:p w:rsidR="00D02473" w:rsidRPr="00881852" w:rsidRDefault="00D02473" w:rsidP="00D02473">
            <w:pPr>
              <w:spacing w:line="360" w:lineRule="atLeast"/>
              <w:jc w:val="both"/>
              <w:rPr>
                <w:rFonts w:ascii="Times New Roman" w:eastAsia="Times New Roman" w:hAnsi="Times New Roman" w:cs="Times New Roman"/>
                <w:color w:val="212529"/>
                <w:sz w:val="24"/>
                <w:szCs w:val="24"/>
                <w:lang w:eastAsia="uk-UA"/>
              </w:rPr>
            </w:pPr>
            <w:r w:rsidRPr="00881852">
              <w:rPr>
                <w:rFonts w:ascii="Times New Roman" w:eastAsia="Times New Roman" w:hAnsi="Times New Roman" w:cs="Times New Roman"/>
                <w:color w:val="212529"/>
                <w:sz w:val="24"/>
                <w:szCs w:val="24"/>
                <w:lang w:eastAsia="uk-UA"/>
              </w:rPr>
              <w:t xml:space="preserve">цілі регуляторного </w:t>
            </w:r>
            <w:proofErr w:type="spellStart"/>
            <w:r w:rsidRPr="00881852">
              <w:rPr>
                <w:rFonts w:ascii="Times New Roman" w:eastAsia="Times New Roman" w:hAnsi="Times New Roman" w:cs="Times New Roman"/>
                <w:color w:val="212529"/>
                <w:sz w:val="24"/>
                <w:szCs w:val="24"/>
                <w:lang w:eastAsia="uk-UA"/>
              </w:rPr>
              <w:t>акта</w:t>
            </w:r>
            <w:proofErr w:type="spellEnd"/>
            <w:r w:rsidRPr="00881852">
              <w:rPr>
                <w:rFonts w:ascii="Times New Roman" w:eastAsia="Times New Roman" w:hAnsi="Times New Roman" w:cs="Times New Roman"/>
                <w:color w:val="212529"/>
                <w:sz w:val="24"/>
                <w:szCs w:val="24"/>
                <w:lang w:eastAsia="uk-UA"/>
              </w:rPr>
              <w:t>, які можуть бути досягнуті майже повною мірою</w:t>
            </w:r>
          </w:p>
        </w:tc>
      </w:tr>
    </w:tbl>
    <w:p w:rsidR="00D02473" w:rsidRPr="00881852" w:rsidRDefault="00D02473"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p>
    <w:p w:rsid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Регуляторний акт, що пропонується прийняти, не зачіпає інтересів добросовісних суб’єктів земельних правовідносин.</w:t>
      </w:r>
    </w:p>
    <w:tbl>
      <w:tblPr>
        <w:tblStyle w:val="a5"/>
        <w:tblW w:w="0" w:type="auto"/>
        <w:tblLook w:val="04A0" w:firstRow="1" w:lastRow="0" w:firstColumn="1" w:lastColumn="0" w:noHBand="0" w:noVBand="1"/>
      </w:tblPr>
      <w:tblGrid>
        <w:gridCol w:w="2212"/>
        <w:gridCol w:w="3755"/>
        <w:gridCol w:w="1642"/>
        <w:gridCol w:w="2020"/>
      </w:tblGrid>
      <w:tr w:rsidR="00D02473" w:rsidTr="00D02473">
        <w:tc>
          <w:tcPr>
            <w:tcW w:w="2408"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Рейтинг результативності</w:t>
            </w:r>
          </w:p>
        </w:tc>
        <w:tc>
          <w:tcPr>
            <w:tcW w:w="2407"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Вигоди (підсумок)</w:t>
            </w:r>
          </w:p>
        </w:tc>
        <w:tc>
          <w:tcPr>
            <w:tcW w:w="2407"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Витрати (підсумки)</w:t>
            </w:r>
          </w:p>
        </w:tc>
        <w:tc>
          <w:tcPr>
            <w:tcW w:w="2407"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Обґрунтування відповідного місця альтернативи в рейтингу</w:t>
            </w:r>
          </w:p>
        </w:tc>
      </w:tr>
      <w:tr w:rsidR="00D02473" w:rsidTr="00D02473">
        <w:tc>
          <w:tcPr>
            <w:tcW w:w="2408" w:type="dxa"/>
          </w:tcPr>
          <w:p w:rsidR="00D02473" w:rsidRDefault="00D02473" w:rsidP="00D02473">
            <w:pPr>
              <w:spacing w:line="360" w:lineRule="atLeast"/>
              <w:rPr>
                <w:rFonts w:ascii="ProbaPro" w:hAnsi="ProbaPro"/>
                <w:color w:val="212529"/>
              </w:rPr>
            </w:pPr>
            <w:r>
              <w:rPr>
                <w:rFonts w:ascii="ProbaPro" w:hAnsi="ProbaPro"/>
                <w:color w:val="212529"/>
              </w:rPr>
              <w:t>Альтернатива 1</w:t>
            </w:r>
          </w:p>
        </w:tc>
        <w:tc>
          <w:tcPr>
            <w:tcW w:w="2407" w:type="dxa"/>
          </w:tcPr>
          <w:p w:rsidR="00D02473" w:rsidRDefault="00D02473" w:rsidP="00D02473">
            <w:pPr>
              <w:pStyle w:val="3"/>
              <w:spacing w:before="0" w:beforeAutospacing="0" w:after="450" w:afterAutospacing="0" w:line="360" w:lineRule="atLeast"/>
              <w:jc w:val="center"/>
              <w:textAlignment w:val="baseline"/>
              <w:rPr>
                <w:rFonts w:ascii="ProbaPro" w:hAnsi="ProbaPro"/>
                <w:b w:val="0"/>
                <w:bCs w:val="0"/>
                <w:color w:val="212529"/>
                <w:sz w:val="24"/>
                <w:szCs w:val="24"/>
              </w:rPr>
            </w:pPr>
            <w:r>
              <w:rPr>
                <w:rFonts w:ascii="ProbaPro" w:hAnsi="ProbaPro"/>
                <w:b w:val="0"/>
                <w:bCs w:val="0"/>
                <w:color w:val="212529"/>
                <w:sz w:val="24"/>
                <w:szCs w:val="24"/>
              </w:rPr>
              <w:t>-</w:t>
            </w:r>
          </w:p>
        </w:tc>
        <w:tc>
          <w:tcPr>
            <w:tcW w:w="2407"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відсутні</w:t>
            </w:r>
          </w:p>
        </w:tc>
        <w:tc>
          <w:tcPr>
            <w:tcW w:w="2407" w:type="dxa"/>
          </w:tcPr>
          <w:p w:rsidR="00D02473" w:rsidRDefault="00D02473" w:rsidP="00D02473">
            <w:pPr>
              <w:spacing w:line="360" w:lineRule="atLeast"/>
              <w:rPr>
                <w:rFonts w:ascii="ProbaPro" w:hAnsi="ProbaPro"/>
                <w:color w:val="212529"/>
              </w:rPr>
            </w:pPr>
            <w:r>
              <w:rPr>
                <w:rFonts w:ascii="ProbaPro" w:hAnsi="ProbaPro"/>
                <w:color w:val="212529"/>
              </w:rPr>
              <w:t>Проблема продовжує існувати.</w:t>
            </w:r>
          </w:p>
        </w:tc>
      </w:tr>
      <w:tr w:rsidR="00D02473" w:rsidTr="00D02473">
        <w:tc>
          <w:tcPr>
            <w:tcW w:w="2408" w:type="dxa"/>
          </w:tcPr>
          <w:p w:rsidR="00D02473" w:rsidRDefault="00D02473" w:rsidP="00D02473">
            <w:pPr>
              <w:spacing w:line="360" w:lineRule="atLeast"/>
              <w:rPr>
                <w:rFonts w:ascii="ProbaPro" w:hAnsi="ProbaPro"/>
                <w:color w:val="212529"/>
              </w:rPr>
            </w:pPr>
            <w:r>
              <w:rPr>
                <w:rFonts w:ascii="ProbaPro" w:hAnsi="ProbaPro"/>
                <w:color w:val="212529"/>
              </w:rPr>
              <w:t>Альтернатива 2</w:t>
            </w:r>
          </w:p>
        </w:tc>
        <w:tc>
          <w:tcPr>
            <w:tcW w:w="2407" w:type="dxa"/>
          </w:tcPr>
          <w:p w:rsidR="00D02473" w:rsidRDefault="00D02473" w:rsidP="00D02473">
            <w:pPr>
              <w:pStyle w:val="3"/>
              <w:spacing w:before="0" w:beforeAutospacing="0" w:after="450" w:afterAutospacing="0" w:line="360" w:lineRule="atLeast"/>
              <w:jc w:val="center"/>
              <w:textAlignment w:val="baseline"/>
              <w:rPr>
                <w:rFonts w:ascii="ProbaPro" w:hAnsi="ProbaPro"/>
                <w:b w:val="0"/>
                <w:bCs w:val="0"/>
                <w:color w:val="212529"/>
                <w:sz w:val="24"/>
                <w:szCs w:val="24"/>
              </w:rPr>
            </w:pPr>
            <w:r>
              <w:rPr>
                <w:rFonts w:ascii="ProbaPro" w:hAnsi="ProbaPro"/>
                <w:b w:val="0"/>
                <w:bCs w:val="0"/>
                <w:color w:val="212529"/>
                <w:sz w:val="24"/>
                <w:szCs w:val="24"/>
              </w:rPr>
              <w:t>-</w:t>
            </w:r>
          </w:p>
        </w:tc>
        <w:tc>
          <w:tcPr>
            <w:tcW w:w="2407"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відсутні</w:t>
            </w:r>
          </w:p>
        </w:tc>
        <w:tc>
          <w:tcPr>
            <w:tcW w:w="2407" w:type="dxa"/>
          </w:tcPr>
          <w:p w:rsidR="00D02473" w:rsidRDefault="00D02473" w:rsidP="00D02473">
            <w:pPr>
              <w:spacing w:line="360" w:lineRule="atLeast"/>
              <w:rPr>
                <w:rFonts w:ascii="ProbaPro" w:hAnsi="ProbaPro"/>
                <w:color w:val="212529"/>
              </w:rPr>
            </w:pPr>
            <w:r>
              <w:rPr>
                <w:rFonts w:ascii="ProbaPro" w:hAnsi="ProbaPro"/>
                <w:color w:val="212529"/>
              </w:rPr>
              <w:t xml:space="preserve">Цілі прийняття регуляторного </w:t>
            </w:r>
            <w:proofErr w:type="spellStart"/>
            <w:r>
              <w:rPr>
                <w:rFonts w:ascii="ProbaPro" w:hAnsi="ProbaPro"/>
                <w:color w:val="212529"/>
              </w:rPr>
              <w:t>акта</w:t>
            </w:r>
            <w:proofErr w:type="spellEnd"/>
            <w:r>
              <w:rPr>
                <w:rFonts w:ascii="ProbaPro" w:hAnsi="ProbaPro"/>
                <w:color w:val="212529"/>
              </w:rPr>
              <w:t>, які не можуть бути досягнуті</w:t>
            </w:r>
          </w:p>
        </w:tc>
      </w:tr>
      <w:tr w:rsidR="00D02473" w:rsidTr="00D02473">
        <w:tc>
          <w:tcPr>
            <w:tcW w:w="2408" w:type="dxa"/>
          </w:tcPr>
          <w:p w:rsidR="00D02473" w:rsidRDefault="00D02473" w:rsidP="00D02473">
            <w:pPr>
              <w:spacing w:line="360" w:lineRule="atLeast"/>
              <w:rPr>
                <w:rFonts w:ascii="ProbaPro" w:hAnsi="ProbaPro"/>
                <w:color w:val="212529"/>
              </w:rPr>
            </w:pPr>
            <w:r>
              <w:rPr>
                <w:rFonts w:ascii="ProbaPro" w:hAnsi="ProbaPro"/>
                <w:color w:val="212529"/>
              </w:rPr>
              <w:t>Альтернатива 3</w:t>
            </w:r>
          </w:p>
        </w:tc>
        <w:tc>
          <w:tcPr>
            <w:tcW w:w="2407" w:type="dxa"/>
          </w:tcPr>
          <w:p w:rsidR="00D02473" w:rsidRDefault="00D02473" w:rsidP="00D02473">
            <w:pPr>
              <w:pStyle w:val="3"/>
              <w:spacing w:before="0" w:beforeAutospacing="0" w:after="450" w:afterAutospacing="0" w:line="360" w:lineRule="atLeast"/>
              <w:textAlignment w:val="baseline"/>
              <w:rPr>
                <w:rFonts w:ascii="ProbaPro" w:hAnsi="ProbaPro"/>
                <w:b w:val="0"/>
                <w:bCs w:val="0"/>
                <w:color w:val="212529"/>
                <w:sz w:val="24"/>
                <w:szCs w:val="24"/>
              </w:rPr>
            </w:pPr>
            <w:r>
              <w:rPr>
                <w:rFonts w:ascii="ProbaPro" w:hAnsi="ProbaPro"/>
                <w:b w:val="0"/>
                <w:bCs w:val="0"/>
                <w:color w:val="212529"/>
                <w:sz w:val="24"/>
                <w:szCs w:val="24"/>
              </w:rPr>
              <w:t xml:space="preserve">Встановлення єдиної процедури відшкодування збитків власникам землі та </w:t>
            </w:r>
            <w:proofErr w:type="spellStart"/>
            <w:r>
              <w:rPr>
                <w:rFonts w:ascii="ProbaPro" w:hAnsi="ProbaPro"/>
                <w:b w:val="0"/>
                <w:bCs w:val="0"/>
                <w:color w:val="212529"/>
                <w:sz w:val="24"/>
                <w:szCs w:val="24"/>
              </w:rPr>
              <w:lastRenderedPageBreak/>
              <w:t>землекористувачам,поліпшення</w:t>
            </w:r>
            <w:proofErr w:type="spellEnd"/>
            <w:r>
              <w:rPr>
                <w:rFonts w:ascii="ProbaPro" w:hAnsi="ProbaPro"/>
                <w:b w:val="0"/>
                <w:bCs w:val="0"/>
                <w:color w:val="212529"/>
                <w:sz w:val="24"/>
                <w:szCs w:val="24"/>
              </w:rPr>
              <w:t xml:space="preserve"> контролю за використанням землі та збільшення надходжень до сільського бюджету за рахунок відшкодування нарахованих збитків.</w:t>
            </w:r>
          </w:p>
        </w:tc>
        <w:tc>
          <w:tcPr>
            <w:tcW w:w="2407"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lastRenderedPageBreak/>
              <w:t>відсутні</w:t>
            </w:r>
          </w:p>
        </w:tc>
        <w:tc>
          <w:tcPr>
            <w:tcW w:w="2407" w:type="dxa"/>
          </w:tcPr>
          <w:p w:rsidR="00D02473" w:rsidRDefault="00D02473" w:rsidP="00D02473">
            <w:pPr>
              <w:spacing w:line="360" w:lineRule="atLeast"/>
              <w:rPr>
                <w:rFonts w:ascii="ProbaPro" w:hAnsi="ProbaPro"/>
                <w:color w:val="212529"/>
              </w:rPr>
            </w:pPr>
            <w:r>
              <w:rPr>
                <w:rFonts w:ascii="ProbaPro" w:hAnsi="ProbaPro"/>
                <w:color w:val="212529"/>
              </w:rPr>
              <w:t xml:space="preserve">Найважливіші аспекти </w:t>
            </w:r>
            <w:r>
              <w:rPr>
                <w:rFonts w:ascii="ProbaPro" w:hAnsi="ProbaPro"/>
                <w:color w:val="212529"/>
              </w:rPr>
              <w:lastRenderedPageBreak/>
              <w:t xml:space="preserve">проблеми буде </w:t>
            </w:r>
            <w:proofErr w:type="spellStart"/>
            <w:r>
              <w:rPr>
                <w:rFonts w:ascii="ProbaPro" w:hAnsi="ProbaPro"/>
                <w:color w:val="212529"/>
              </w:rPr>
              <w:t>вирішен</w:t>
            </w:r>
            <w:proofErr w:type="spellEnd"/>
          </w:p>
        </w:tc>
      </w:tr>
    </w:tbl>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vanish/>
          <w:color w:val="212529"/>
          <w:sz w:val="27"/>
          <w:szCs w:val="27"/>
          <w:lang w:eastAsia="uk-UA"/>
        </w:rPr>
      </w:pPr>
    </w:p>
    <w:p w:rsidR="00D02473" w:rsidRDefault="00D02473" w:rsidP="00881852">
      <w:pPr>
        <w:shd w:val="clear" w:color="auto" w:fill="FFFFFF"/>
        <w:spacing w:after="0" w:line="240" w:lineRule="auto"/>
        <w:jc w:val="both"/>
        <w:textAlignment w:val="baseline"/>
        <w:rPr>
          <w:rFonts w:ascii="Times New Roman" w:eastAsia="Times New Roman" w:hAnsi="Times New Roman" w:cs="Times New Roman"/>
          <w:b/>
          <w:bCs/>
          <w:color w:val="000000"/>
          <w:sz w:val="27"/>
          <w:szCs w:val="27"/>
          <w:bdr w:val="none" w:sz="0" w:space="0" w:color="auto" w:frame="1"/>
          <w:lang w:eastAsia="uk-UA"/>
        </w:rPr>
      </w:pPr>
    </w:p>
    <w:tbl>
      <w:tblPr>
        <w:tblStyle w:val="a5"/>
        <w:tblW w:w="0" w:type="auto"/>
        <w:tblLook w:val="04A0" w:firstRow="1" w:lastRow="0" w:firstColumn="1" w:lastColumn="0" w:noHBand="0" w:noVBand="1"/>
      </w:tblPr>
      <w:tblGrid>
        <w:gridCol w:w="3209"/>
        <w:gridCol w:w="3210"/>
        <w:gridCol w:w="3210"/>
      </w:tblGrid>
      <w:tr w:rsidR="00D02473" w:rsidTr="00D02473">
        <w:tc>
          <w:tcPr>
            <w:tcW w:w="3209"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Рейтинг</w:t>
            </w:r>
          </w:p>
        </w:tc>
        <w:tc>
          <w:tcPr>
            <w:tcW w:w="3210"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Аргументи щодо переваги обраної альтернативи / причини відмови від альтернативи</w:t>
            </w:r>
          </w:p>
        </w:tc>
        <w:tc>
          <w:tcPr>
            <w:tcW w:w="3210"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 xml:space="preserve">Оцінка ризику зовнішніх чинників на дію запропонованого регуляторного </w:t>
            </w:r>
            <w:proofErr w:type="spellStart"/>
            <w:r>
              <w:rPr>
                <w:rFonts w:ascii="ProbaPro" w:hAnsi="ProbaPro"/>
                <w:color w:val="000000"/>
              </w:rPr>
              <w:t>акта</w:t>
            </w:r>
            <w:proofErr w:type="spellEnd"/>
          </w:p>
        </w:tc>
      </w:tr>
      <w:tr w:rsidR="00D02473" w:rsidTr="00D02473">
        <w:tc>
          <w:tcPr>
            <w:tcW w:w="3209" w:type="dxa"/>
          </w:tcPr>
          <w:p w:rsidR="00D02473" w:rsidRDefault="00D02473" w:rsidP="00D02473">
            <w:pPr>
              <w:spacing w:line="360" w:lineRule="atLeast"/>
              <w:rPr>
                <w:rFonts w:ascii="ProbaPro" w:hAnsi="ProbaPro"/>
                <w:color w:val="212529"/>
              </w:rPr>
            </w:pPr>
            <w:r>
              <w:rPr>
                <w:rFonts w:ascii="ProbaPro" w:hAnsi="ProbaPro"/>
                <w:color w:val="212529"/>
              </w:rPr>
              <w:t>Альтернатива 1</w:t>
            </w:r>
          </w:p>
        </w:tc>
        <w:tc>
          <w:tcPr>
            <w:tcW w:w="3210" w:type="dxa"/>
          </w:tcPr>
          <w:p w:rsidR="00D02473" w:rsidRDefault="00D02473" w:rsidP="00D02473">
            <w:pPr>
              <w:spacing w:line="360" w:lineRule="atLeast"/>
              <w:rPr>
                <w:rFonts w:ascii="ProbaPro" w:hAnsi="ProbaPro"/>
                <w:color w:val="212529"/>
              </w:rPr>
            </w:pPr>
            <w:r>
              <w:rPr>
                <w:rFonts w:ascii="ProbaPro" w:hAnsi="ProbaPro"/>
                <w:color w:val="212529"/>
              </w:rPr>
              <w:t>Не прийнятна, оскільки не вирішує порушеного питання.</w:t>
            </w:r>
          </w:p>
        </w:tc>
        <w:tc>
          <w:tcPr>
            <w:tcW w:w="3210"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Х</w:t>
            </w:r>
          </w:p>
        </w:tc>
      </w:tr>
      <w:tr w:rsidR="00D02473" w:rsidTr="00D02473">
        <w:tc>
          <w:tcPr>
            <w:tcW w:w="3209" w:type="dxa"/>
          </w:tcPr>
          <w:p w:rsidR="00D02473" w:rsidRDefault="00D02473" w:rsidP="00D02473">
            <w:pPr>
              <w:spacing w:line="360" w:lineRule="atLeast"/>
              <w:rPr>
                <w:rFonts w:ascii="ProbaPro" w:hAnsi="ProbaPro"/>
                <w:color w:val="212529"/>
              </w:rPr>
            </w:pPr>
            <w:r>
              <w:rPr>
                <w:rFonts w:ascii="ProbaPro" w:hAnsi="ProbaPro"/>
                <w:color w:val="212529"/>
              </w:rPr>
              <w:t>Альтернатива 2</w:t>
            </w:r>
          </w:p>
        </w:tc>
        <w:tc>
          <w:tcPr>
            <w:tcW w:w="3210" w:type="dxa"/>
          </w:tcPr>
          <w:p w:rsidR="00D02473" w:rsidRDefault="00D02473" w:rsidP="00D02473">
            <w:pPr>
              <w:spacing w:line="360" w:lineRule="atLeast"/>
              <w:rPr>
                <w:rFonts w:ascii="ProbaPro" w:hAnsi="ProbaPro"/>
                <w:color w:val="212529"/>
              </w:rPr>
            </w:pPr>
            <w:r>
              <w:rPr>
                <w:rFonts w:ascii="ProbaPro" w:hAnsi="ProbaPro"/>
                <w:color w:val="212529"/>
              </w:rPr>
              <w:t>Не прийнятна, оскільки відсутні ринкові механізми для вирішення даної проблеми</w:t>
            </w:r>
          </w:p>
        </w:tc>
        <w:tc>
          <w:tcPr>
            <w:tcW w:w="3210"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Х</w:t>
            </w:r>
          </w:p>
        </w:tc>
      </w:tr>
      <w:tr w:rsidR="00D02473" w:rsidTr="00D02473">
        <w:tc>
          <w:tcPr>
            <w:tcW w:w="3209" w:type="dxa"/>
          </w:tcPr>
          <w:p w:rsidR="00D02473" w:rsidRDefault="00D02473" w:rsidP="00D02473">
            <w:pPr>
              <w:spacing w:line="360" w:lineRule="atLeast"/>
              <w:rPr>
                <w:rFonts w:ascii="ProbaPro" w:hAnsi="ProbaPro"/>
                <w:color w:val="212529"/>
              </w:rPr>
            </w:pPr>
            <w:r>
              <w:rPr>
                <w:rFonts w:ascii="ProbaPro" w:hAnsi="ProbaPro"/>
                <w:color w:val="212529"/>
              </w:rPr>
              <w:t>Альтернатива 3</w:t>
            </w:r>
          </w:p>
        </w:tc>
        <w:tc>
          <w:tcPr>
            <w:tcW w:w="3210" w:type="dxa"/>
          </w:tcPr>
          <w:p w:rsidR="00D02473" w:rsidRDefault="00D02473" w:rsidP="00D02473">
            <w:pPr>
              <w:spacing w:line="360" w:lineRule="atLeast"/>
              <w:rPr>
                <w:rFonts w:ascii="ProbaPro" w:hAnsi="ProbaPro"/>
                <w:color w:val="212529"/>
              </w:rPr>
            </w:pPr>
            <w:r>
              <w:rPr>
                <w:rFonts w:ascii="ProbaPro" w:hAnsi="ProbaPro"/>
                <w:color w:val="212529"/>
              </w:rPr>
              <w:t>Єдина можлива альтернатива, оскільки забезпечує позитивний імідж органу місцевого самоврядування, раціональне та ефективне використання земельних ділянок, наповнення сільського бюджету та фінансування соціальних програм громади. Встановлення чіткої процедури нарахування та стягнення збитків, заподіяних внаслідок порушення земельного законодавства; передбачуваність дій влади; прогнозування умов господарювання і заходів відповідальності у випадку їх порушення.</w:t>
            </w:r>
          </w:p>
        </w:tc>
        <w:tc>
          <w:tcPr>
            <w:tcW w:w="3210" w:type="dxa"/>
          </w:tcPr>
          <w:p w:rsidR="00D02473" w:rsidRDefault="00D02473" w:rsidP="00D02473">
            <w:pPr>
              <w:pStyle w:val="a3"/>
              <w:spacing w:before="0" w:beforeAutospacing="0" w:after="150" w:afterAutospacing="0" w:line="360" w:lineRule="atLeast"/>
              <w:jc w:val="center"/>
              <w:textAlignment w:val="baseline"/>
              <w:rPr>
                <w:rFonts w:ascii="ProbaPro" w:hAnsi="ProbaPro"/>
                <w:color w:val="000000"/>
              </w:rPr>
            </w:pPr>
            <w:r>
              <w:rPr>
                <w:rFonts w:ascii="ProbaPro" w:hAnsi="ProbaPro"/>
                <w:color w:val="000000"/>
              </w:rPr>
              <w:t>Х</w:t>
            </w:r>
          </w:p>
        </w:tc>
      </w:tr>
    </w:tbl>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lastRenderedPageBreak/>
        <w:t> </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5. Механізми та заходи, які забезпечать розв’язання визначеної проблеми</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Реалізація запропонованого регулювання здійснюється шляхом впровадження наступних заходів:</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1. Порядок визначення та відшкодування збитків власникам землі та землекористувачам, заподіяних внаслідок порушення земельного законодавства, покладається на Комісію щодо визначення та відшкодування збитків власникам землі та землекористувачам.</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2. За результатами розгляду матеріалів Комісією складаються акти щодо визначення та відшкодування розміру збитків власникам землі та землекористувачам по кожному суб'єкту окремо, який підлягає затвердженню виконавчим комітетом </w:t>
      </w:r>
      <w:proofErr w:type="spellStart"/>
      <w:r w:rsidRPr="00881852">
        <w:rPr>
          <w:rFonts w:ascii="Times New Roman" w:eastAsia="Times New Roman" w:hAnsi="Times New Roman" w:cs="Times New Roman"/>
          <w:color w:val="000000"/>
          <w:sz w:val="27"/>
          <w:szCs w:val="27"/>
          <w:lang w:eastAsia="uk-UA"/>
        </w:rPr>
        <w:t>Карпівської</w:t>
      </w:r>
      <w:proofErr w:type="spellEnd"/>
      <w:r w:rsidRPr="00881852">
        <w:rPr>
          <w:rFonts w:ascii="Times New Roman" w:eastAsia="Times New Roman" w:hAnsi="Times New Roman" w:cs="Times New Roman"/>
          <w:color w:val="000000"/>
          <w:sz w:val="27"/>
          <w:szCs w:val="27"/>
          <w:lang w:eastAsia="uk-UA"/>
        </w:rPr>
        <w:t xml:space="preserve"> сільської  ради.</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3. Після затвердження рішення виконавчого комітету </w:t>
      </w:r>
      <w:proofErr w:type="spellStart"/>
      <w:r w:rsidRPr="00881852">
        <w:rPr>
          <w:rFonts w:ascii="Times New Roman" w:eastAsia="Times New Roman" w:hAnsi="Times New Roman" w:cs="Times New Roman"/>
          <w:color w:val="000000"/>
          <w:sz w:val="27"/>
          <w:szCs w:val="27"/>
          <w:lang w:eastAsia="uk-UA"/>
        </w:rPr>
        <w:t>Карпівської</w:t>
      </w:r>
      <w:proofErr w:type="spellEnd"/>
      <w:r w:rsidRPr="00881852">
        <w:rPr>
          <w:rFonts w:ascii="Times New Roman" w:eastAsia="Times New Roman" w:hAnsi="Times New Roman" w:cs="Times New Roman"/>
          <w:color w:val="000000"/>
          <w:sz w:val="27"/>
          <w:szCs w:val="27"/>
          <w:lang w:eastAsia="uk-UA"/>
        </w:rPr>
        <w:t xml:space="preserve"> сільської ради акту Комісії щодо визначення та відшкодування збитків власникам землі та землекористувачам, Комісія у п’ятиденний термін направляє повідомлення про необхідність відшкодування збитків суб'єктам, які вони заподіяли.</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4. Прийняття місцевого нормативного документу, який в рамках чинного законодавства дає можливість зробити прозорим порядок нарахування збитків, заподіяних внаслідок порушення земельного законодавства та їх відшкодування.</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5. Невідкладне оприлюднення проекту регуляторного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 xml:space="preserve"> в засобах масової інформації з метою надання зауважень та пропозицій від громадськості.</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xml:space="preserve">6. Оцінка виконання вимог регуляторного </w:t>
      </w:r>
      <w:proofErr w:type="spellStart"/>
      <w:r w:rsidRPr="00881852">
        <w:rPr>
          <w:rFonts w:ascii="Times New Roman" w:eastAsia="Times New Roman" w:hAnsi="Times New Roman" w:cs="Times New Roman"/>
          <w:b/>
          <w:bCs/>
          <w:color w:val="000000"/>
          <w:sz w:val="27"/>
          <w:szCs w:val="27"/>
          <w:bdr w:val="none" w:sz="0" w:space="0" w:color="auto" w:frame="1"/>
          <w:lang w:eastAsia="uk-UA"/>
        </w:rPr>
        <w:t>акта</w:t>
      </w:r>
      <w:proofErr w:type="spellEnd"/>
      <w:r w:rsidRPr="00881852">
        <w:rPr>
          <w:rFonts w:ascii="Times New Roman" w:eastAsia="Times New Roman" w:hAnsi="Times New Roman" w:cs="Times New Roman"/>
          <w:b/>
          <w:bCs/>
          <w:color w:val="000000"/>
          <w:sz w:val="27"/>
          <w:szCs w:val="27"/>
          <w:bdr w:val="none" w:sz="0" w:space="0" w:color="auto" w:frame="1"/>
          <w:lang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6.1. </w:t>
      </w:r>
      <w:proofErr w:type="spellStart"/>
      <w:r w:rsidRPr="00881852">
        <w:rPr>
          <w:rFonts w:ascii="Times New Roman" w:eastAsia="Times New Roman" w:hAnsi="Times New Roman" w:cs="Times New Roman"/>
          <w:color w:val="000000"/>
          <w:sz w:val="27"/>
          <w:szCs w:val="27"/>
          <w:lang w:eastAsia="uk-UA"/>
        </w:rPr>
        <w:t>Карпівська</w:t>
      </w:r>
      <w:proofErr w:type="spellEnd"/>
      <w:r w:rsidRPr="00881852">
        <w:rPr>
          <w:rFonts w:ascii="Times New Roman" w:eastAsia="Times New Roman" w:hAnsi="Times New Roman" w:cs="Times New Roman"/>
          <w:color w:val="000000"/>
          <w:sz w:val="27"/>
          <w:szCs w:val="27"/>
          <w:lang w:eastAsia="uk-UA"/>
        </w:rPr>
        <w:t xml:space="preserve"> сільська рада не несе витрат на адміністрування регулювання.</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6.2. Неможливо визначити кількісно суб’єктів господарювання, на яких поширюється регулювання, оскільки даний регуляторний акт стосується суб’єктів господарювання, які порушують норми чинного законодавства України і не впливає на добросовісних суб’єктів господарювання.</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xml:space="preserve">7. Обґрунтування строку дії регуляторного </w:t>
      </w:r>
      <w:proofErr w:type="spellStart"/>
      <w:r w:rsidRPr="00881852">
        <w:rPr>
          <w:rFonts w:ascii="Times New Roman" w:eastAsia="Times New Roman" w:hAnsi="Times New Roman" w:cs="Times New Roman"/>
          <w:b/>
          <w:bCs/>
          <w:color w:val="000000"/>
          <w:sz w:val="27"/>
          <w:szCs w:val="27"/>
          <w:bdr w:val="none" w:sz="0" w:space="0" w:color="auto" w:frame="1"/>
          <w:lang w:eastAsia="uk-UA"/>
        </w:rPr>
        <w:t>акта</w:t>
      </w:r>
      <w:proofErr w:type="spellEnd"/>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Строк дії запропонованого регуляторного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 xml:space="preserve"> необмежений. При внесенні змін до чинного законодавства, які можуть впливати на дію регуляторного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 до нього будуть вноситись відповідні зміни, або доповнення.</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xml:space="preserve">8. Визначення показників результативності дії регуляторного </w:t>
      </w:r>
      <w:proofErr w:type="spellStart"/>
      <w:r w:rsidRPr="00881852">
        <w:rPr>
          <w:rFonts w:ascii="Times New Roman" w:eastAsia="Times New Roman" w:hAnsi="Times New Roman" w:cs="Times New Roman"/>
          <w:b/>
          <w:bCs/>
          <w:color w:val="000000"/>
          <w:sz w:val="27"/>
          <w:szCs w:val="27"/>
          <w:bdr w:val="none" w:sz="0" w:space="0" w:color="auto" w:frame="1"/>
          <w:lang w:eastAsia="uk-UA"/>
        </w:rPr>
        <w:t>акта</w:t>
      </w:r>
      <w:proofErr w:type="spellEnd"/>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Основними показниками результативності регуляторного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 xml:space="preserve"> є:</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розмір надходжень коштів до сільського бюджету ради;</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lastRenderedPageBreak/>
        <w:t>- кількість землекористувачів, якими нанесені збитки;</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 кількість укладених договорів оренди землекористувачами, які ухилялись від цього до прийняття даного регуляторного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кількість поданих заяв про добровільне відшкодування збитків, заподіяних внаслідок порушення земельного законодавства.</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w:t>
      </w:r>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xml:space="preserve">9. Визначення заходів, за допомогою яких здійснюватиметься відстеження результативності дії регуляторного </w:t>
      </w:r>
      <w:proofErr w:type="spellStart"/>
      <w:r w:rsidRPr="00881852">
        <w:rPr>
          <w:rFonts w:ascii="Times New Roman" w:eastAsia="Times New Roman" w:hAnsi="Times New Roman" w:cs="Times New Roman"/>
          <w:b/>
          <w:bCs/>
          <w:color w:val="000000"/>
          <w:sz w:val="27"/>
          <w:szCs w:val="27"/>
          <w:bdr w:val="none" w:sz="0" w:space="0" w:color="auto" w:frame="1"/>
          <w:lang w:eastAsia="uk-UA"/>
        </w:rPr>
        <w:t>акта</w:t>
      </w:r>
      <w:proofErr w:type="spellEnd"/>
    </w:p>
    <w:p w:rsidR="00881852" w:rsidRPr="00881852" w:rsidRDefault="00881852" w:rsidP="00881852">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b/>
          <w:bCs/>
          <w:color w:val="000000"/>
          <w:sz w:val="27"/>
          <w:szCs w:val="27"/>
          <w:bdr w:val="none" w:sz="0" w:space="0" w:color="auto" w:frame="1"/>
          <w:lang w:eastAsia="uk-UA"/>
        </w:rPr>
        <w:t> </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Відстеження результативності даного регуляторного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 xml:space="preserve"> буде проводитись статистичним методом шляхом аналізу розміру надходжень коштів до сільського бюджету, кількості землекористувачів, якими нанесені збитки, кількості укладених договорів оренди землекористувачами, які ухилялись від цього до прийняття даного регуляторного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 кількості поданих заяв про добровільне відшкодування збитків, заподіяних внаслідок порушення земельного законодавства.</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Базове відстеження результативності  регуляторного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 xml:space="preserve"> здійснюватиметься до дня  набрання чинності цим регуляторним актом.</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Повторне відстеження  здійснюватиметься через 1 рік після набрання чинності цього регуляторного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 xml:space="preserve"> шляхом аналізу статистичних даних у порівнянні із базовим відстеженням.</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Періодичне відстеження здійснюється раз на кожні три роки, починаючи з дня закінчення заходів з повторного  відстеження результативності цього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У разі виявлення неврегульованих та проблемних моментів шляхом аналізу якісних та кількісних показників дії цього </w:t>
      </w:r>
      <w:proofErr w:type="spellStart"/>
      <w:r w:rsidRPr="00881852">
        <w:rPr>
          <w:rFonts w:ascii="Times New Roman" w:eastAsia="Times New Roman" w:hAnsi="Times New Roman" w:cs="Times New Roman"/>
          <w:color w:val="000000"/>
          <w:sz w:val="27"/>
          <w:szCs w:val="27"/>
          <w:lang w:eastAsia="uk-UA"/>
        </w:rPr>
        <w:t>акта</w:t>
      </w:r>
      <w:proofErr w:type="spellEnd"/>
      <w:r w:rsidRPr="00881852">
        <w:rPr>
          <w:rFonts w:ascii="Times New Roman" w:eastAsia="Times New Roman" w:hAnsi="Times New Roman" w:cs="Times New Roman"/>
          <w:color w:val="000000"/>
          <w:sz w:val="27"/>
          <w:szCs w:val="27"/>
          <w:lang w:eastAsia="uk-UA"/>
        </w:rPr>
        <w:t>, ці моменти буде виправлено шляхом внесення відповідних змін</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Проект рішення підготовлено відділом                        </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земельних відносин, екології, архітектури,</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ЖКГ та комунальної власності виконавчого</w:t>
      </w:r>
    </w:p>
    <w:p w:rsidR="00881852" w:rsidRPr="00881852" w:rsidRDefault="00881852" w:rsidP="00881852">
      <w:pPr>
        <w:shd w:val="clear" w:color="auto" w:fill="FFFFFF"/>
        <w:spacing w:after="225" w:line="240" w:lineRule="auto"/>
        <w:jc w:val="both"/>
        <w:textAlignment w:val="baseline"/>
        <w:rPr>
          <w:rFonts w:ascii="Times New Roman" w:eastAsia="Times New Roman" w:hAnsi="Times New Roman" w:cs="Times New Roman"/>
          <w:color w:val="000000"/>
          <w:sz w:val="27"/>
          <w:szCs w:val="27"/>
          <w:lang w:eastAsia="uk-UA"/>
        </w:rPr>
      </w:pPr>
      <w:r w:rsidRPr="00881852">
        <w:rPr>
          <w:rFonts w:ascii="Times New Roman" w:eastAsia="Times New Roman" w:hAnsi="Times New Roman" w:cs="Times New Roman"/>
          <w:color w:val="000000"/>
          <w:sz w:val="27"/>
          <w:szCs w:val="27"/>
          <w:lang w:eastAsia="uk-UA"/>
        </w:rPr>
        <w:t xml:space="preserve">комітету </w:t>
      </w:r>
      <w:proofErr w:type="spellStart"/>
      <w:r w:rsidRPr="00881852">
        <w:rPr>
          <w:rFonts w:ascii="Times New Roman" w:eastAsia="Times New Roman" w:hAnsi="Times New Roman" w:cs="Times New Roman"/>
          <w:color w:val="000000"/>
          <w:sz w:val="27"/>
          <w:szCs w:val="27"/>
          <w:lang w:eastAsia="uk-UA"/>
        </w:rPr>
        <w:t>Карпівської</w:t>
      </w:r>
      <w:proofErr w:type="spellEnd"/>
      <w:r w:rsidRPr="00881852">
        <w:rPr>
          <w:rFonts w:ascii="Times New Roman" w:eastAsia="Times New Roman" w:hAnsi="Times New Roman" w:cs="Times New Roman"/>
          <w:color w:val="000000"/>
          <w:sz w:val="27"/>
          <w:szCs w:val="27"/>
          <w:lang w:eastAsia="uk-UA"/>
        </w:rPr>
        <w:t xml:space="preserve"> сільської ради</w:t>
      </w:r>
    </w:p>
    <w:p w:rsidR="007B20FF" w:rsidRPr="00D02473" w:rsidRDefault="007B20FF" w:rsidP="00D02473">
      <w:pPr>
        <w:shd w:val="clear" w:color="auto" w:fill="FFFFFF"/>
        <w:spacing w:after="0" w:line="240" w:lineRule="auto"/>
        <w:jc w:val="both"/>
        <w:textAlignment w:val="baseline"/>
        <w:rPr>
          <w:rFonts w:ascii="Times New Roman" w:eastAsia="Times New Roman" w:hAnsi="Times New Roman" w:cs="Times New Roman"/>
          <w:color w:val="000000"/>
          <w:sz w:val="27"/>
          <w:szCs w:val="27"/>
          <w:lang w:eastAsia="uk-UA"/>
        </w:rPr>
      </w:pPr>
    </w:p>
    <w:sectPr w:rsidR="007B20FF" w:rsidRPr="00D024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52"/>
    <w:rsid w:val="007B20FF"/>
    <w:rsid w:val="00881852"/>
    <w:rsid w:val="00BD4D43"/>
    <w:rsid w:val="00D024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968D"/>
  <w15:chartTrackingRefBased/>
  <w15:docId w15:val="{DFAC0B46-57A2-4F42-8FEA-45F5C8DE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88185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1852"/>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8818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81852"/>
    <w:rPr>
      <w:b/>
      <w:bCs/>
    </w:rPr>
  </w:style>
  <w:style w:type="table" w:styleId="a5">
    <w:name w:val="Table Grid"/>
    <w:basedOn w:val="a1"/>
    <w:uiPriority w:val="39"/>
    <w:rsid w:val="00BD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958743">
      <w:bodyDiv w:val="1"/>
      <w:marLeft w:val="0"/>
      <w:marRight w:val="0"/>
      <w:marTop w:val="0"/>
      <w:marBottom w:val="0"/>
      <w:divBdr>
        <w:top w:val="none" w:sz="0" w:space="0" w:color="auto"/>
        <w:left w:val="none" w:sz="0" w:space="0" w:color="auto"/>
        <w:bottom w:val="none" w:sz="0" w:space="0" w:color="auto"/>
        <w:right w:val="none" w:sz="0" w:space="0" w:color="auto"/>
      </w:divBdr>
    </w:div>
    <w:div w:id="18904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1CC5-9252-4AC8-990E-A44770C7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7618</Words>
  <Characters>4343</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Клименко</dc:creator>
  <cp:keywords/>
  <dc:description/>
  <cp:lastModifiedBy>Ольга Клименко</cp:lastModifiedBy>
  <cp:revision>1</cp:revision>
  <dcterms:created xsi:type="dcterms:W3CDTF">2020-06-03T10:32:00Z</dcterms:created>
  <dcterms:modified xsi:type="dcterms:W3CDTF">2020-06-03T12:03:00Z</dcterms:modified>
</cp:coreProperties>
</file>