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24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Аналіз впливу регуляторного </w:t>
      </w:r>
      <w:proofErr w:type="spellStart"/>
      <w:r w:rsidRPr="000124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00D3" w:rsidRPr="002E6E0A" w:rsidRDefault="002800D3" w:rsidP="00280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  <w:lang w:val="uk-UA"/>
        </w:rPr>
      </w:pPr>
      <w:r w:rsidRPr="002E6E0A">
        <w:rPr>
          <w:rFonts w:eastAsia="Calibri"/>
          <w:lang w:val="uk-UA"/>
        </w:rPr>
        <w:t xml:space="preserve">проекту рішення </w:t>
      </w:r>
      <w:proofErr w:type="spellStart"/>
      <w:r w:rsidRPr="002E6E0A">
        <w:rPr>
          <w:color w:val="333333"/>
          <w:shd w:val="clear" w:color="auto" w:fill="FFFFFF"/>
          <w:lang w:val="uk-UA"/>
        </w:rPr>
        <w:t>Карпівської</w:t>
      </w:r>
      <w:proofErr w:type="spellEnd"/>
      <w:r w:rsidRPr="002E6E0A">
        <w:rPr>
          <w:color w:val="333333"/>
          <w:shd w:val="clear" w:color="auto" w:fill="FFFFFF"/>
          <w:lang w:val="uk-UA"/>
        </w:rPr>
        <w:t xml:space="preserve"> сільської ради «Про затвердження технічної документації про нормативну грошову оцінку земельних ділянок (для розміщення та експлуатації основних, підсобних і допоміжних будівель та споруд підприємствами, що пов’язанні з користуванням надрами – 11.01) які перебувають в користуванні ПРАТ «Інгулецький гірничо- збагачувальний комбінат» на території </w:t>
      </w:r>
      <w:proofErr w:type="spellStart"/>
      <w:r w:rsidRPr="002E6E0A">
        <w:rPr>
          <w:color w:val="333333"/>
          <w:shd w:val="clear" w:color="auto" w:fill="FFFFFF"/>
          <w:lang w:val="uk-UA"/>
        </w:rPr>
        <w:t>Карпівської</w:t>
      </w:r>
      <w:proofErr w:type="spellEnd"/>
      <w:r w:rsidRPr="002E6E0A">
        <w:rPr>
          <w:color w:val="333333"/>
          <w:shd w:val="clear" w:color="auto" w:fill="FFFFFF"/>
          <w:lang w:val="uk-UA"/>
        </w:rPr>
        <w:t xml:space="preserve"> сільської ради </w:t>
      </w:r>
      <w:proofErr w:type="spellStart"/>
      <w:r w:rsidRPr="002E6E0A">
        <w:rPr>
          <w:color w:val="333333"/>
          <w:shd w:val="clear" w:color="auto" w:fill="FFFFFF"/>
          <w:lang w:val="uk-UA"/>
        </w:rPr>
        <w:t>Широківського</w:t>
      </w:r>
      <w:proofErr w:type="spellEnd"/>
      <w:r w:rsidRPr="002E6E0A">
        <w:rPr>
          <w:color w:val="333333"/>
          <w:shd w:val="clear" w:color="auto" w:fill="FFFFFF"/>
          <w:lang w:val="uk-UA"/>
        </w:rPr>
        <w:t xml:space="preserve"> району Дніпропетровської області» (за межами населених пунктів). </w:t>
      </w:r>
    </w:p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800D3" w:rsidRPr="002E6E0A" w:rsidRDefault="002800D3" w:rsidP="002800D3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аналіз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проблеми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, яку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пропонується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розв'язати</w:t>
      </w:r>
      <w:proofErr w:type="spellEnd"/>
    </w:p>
    <w:p w:rsidR="002800D3" w:rsidRPr="002E6E0A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ind w:left="1215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6E0A">
        <w:rPr>
          <w:rFonts w:ascii="Times New Roman" w:hAnsi="Times New Roman" w:cs="Times New Roman"/>
          <w:b/>
          <w:sz w:val="24"/>
          <w:szCs w:val="24"/>
        </w:rPr>
        <w:t xml:space="preserve">шляхом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регулювання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господарських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b/>
          <w:sz w:val="24"/>
          <w:szCs w:val="24"/>
        </w:rPr>
        <w:t>відносин</w:t>
      </w:r>
      <w:proofErr w:type="spellEnd"/>
      <w:r w:rsidRPr="002E6E0A">
        <w:rPr>
          <w:rFonts w:ascii="Times New Roman" w:hAnsi="Times New Roman" w:cs="Times New Roman"/>
          <w:b/>
          <w:sz w:val="24"/>
          <w:szCs w:val="24"/>
        </w:rPr>
        <w:t>.</w:t>
      </w:r>
    </w:p>
    <w:p w:rsidR="002800D3" w:rsidRPr="003A66EB" w:rsidRDefault="002800D3" w:rsidP="002800D3">
      <w:pPr>
        <w:widowControl w:val="0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3A66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Визначення проблеми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:rsidR="002800D3" w:rsidRPr="006A670C" w:rsidRDefault="002800D3" w:rsidP="002800D3">
      <w:pPr>
        <w:pStyle w:val="a4"/>
        <w:ind w:left="-142" w:firstLine="375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  <w:r w:rsidRPr="006A670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18 Закону України «Про оцінку земель» </w:t>
      </w:r>
      <w:r w:rsidRPr="006A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нормативна грошова оцінка земельних ділянок розташованих за межами населених пунктів, </w:t>
      </w:r>
      <w:r w:rsidRPr="006A670C">
        <w:rPr>
          <w:rFonts w:ascii="Times New Roman" w:hAnsi="Times New Roman" w:cs="Times New Roman"/>
          <w:color w:val="514E4E"/>
          <w:sz w:val="24"/>
          <w:szCs w:val="24"/>
          <w:lang w:val="uk-UA"/>
        </w:rPr>
        <w:t>незалежно від їх цільового призначення проводиться не рідше ніж</w:t>
      </w:r>
      <w:r w:rsidRPr="006A670C">
        <w:rPr>
          <w:rFonts w:ascii="Times New Roman" w:hAnsi="Times New Roman" w:cs="Times New Roman"/>
          <w:color w:val="514E4E"/>
          <w:sz w:val="24"/>
          <w:szCs w:val="24"/>
        </w:rPr>
        <w:t xml:space="preserve"> один раз </w:t>
      </w:r>
      <w:r w:rsidRPr="006A670C">
        <w:rPr>
          <w:rFonts w:ascii="Times New Roman" w:hAnsi="Times New Roman" w:cs="Times New Roman"/>
          <w:color w:val="000000"/>
          <w:sz w:val="24"/>
          <w:szCs w:val="24"/>
          <w:lang w:val="uk-UA"/>
        </w:rPr>
        <w:t>7-10 років.</w:t>
      </w:r>
      <w:r w:rsidRPr="006A6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A670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Нормативно грошова оцінка земельних ділянок, що знаходяться в постійному користування ПРАТ «ІНГЗК» (за кадастровими номерами</w:t>
      </w:r>
      <w:r w:rsidRPr="006A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1225855300:09:009:0643, 1225855300:09:009:0657), розташованих за межами населених пунктів </w:t>
      </w:r>
      <w:proofErr w:type="spellStart"/>
      <w:r w:rsidRPr="006A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6A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сільської ради, </w:t>
      </w:r>
      <w:proofErr w:type="spellStart"/>
      <w:r w:rsidRPr="006A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Широківського</w:t>
      </w:r>
      <w:proofErr w:type="spellEnd"/>
      <w:r w:rsidRPr="006A6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району Дніпропетровської області, </w:t>
      </w:r>
      <w:r w:rsidRPr="006A67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не проводилась взагалі.</w:t>
      </w:r>
      <w:r w:rsidRPr="006A670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</w:t>
      </w:r>
    </w:p>
    <w:p w:rsidR="002800D3" w:rsidRDefault="002800D3" w:rsidP="002800D3">
      <w:pPr>
        <w:pStyle w:val="a4"/>
        <w:ind w:left="-142" w:firstLine="37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Враховуючи  ст.. 201 Земельного кодексу України, нормативно грошова оцінка земельних ділянок використовується для визначення розміру земельного податку. 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Згідно </w:t>
      </w:r>
      <w:r w:rsidRPr="00977146">
        <w:rPr>
          <w:rFonts w:ascii="Times New Roman" w:hAnsi="Times New Roman" w:cs="Times New Roman"/>
          <w:sz w:val="24"/>
          <w:szCs w:val="24"/>
          <w:lang w:val="uk-UA"/>
        </w:rPr>
        <w:t xml:space="preserve">ст..277 Податкового кодексу України у разі, якщо нормативна грошова оцінка земельної ділянки не проведена, 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 сплати земельного податку використовується  нормативно грошова оцінка одиниці площі ріллі по області</w:t>
      </w:r>
      <w:r w:rsidRPr="00977146">
        <w:rPr>
          <w:rFonts w:ascii="Times New Roman" w:hAnsi="Times New Roman" w:cs="Times New Roman"/>
          <w:sz w:val="24"/>
          <w:szCs w:val="24"/>
          <w:lang w:val="uk-UA"/>
        </w:rPr>
        <w:t>, що затверджена  Наказом № 262 від 23.05.2017р. «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Порядку нормативної грошової оцінки земель сільськогосподарського призначення»</w:t>
      </w:r>
      <w:r w:rsidRPr="009771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Нормативно грошова оцінка одиниці площі ріллі по області значно менша, за  державну нормативну грошову оцінку, яка проведена на замовлення виконавчого комітету </w:t>
      </w:r>
      <w:proofErr w:type="spellStart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Карпівської</w:t>
      </w:r>
      <w:proofErr w:type="spellEnd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приватним підприємством «Землі Півдня», з додержанням вимог Методики</w:t>
      </w:r>
      <w:r w:rsidRPr="009771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77146">
        <w:rPr>
          <w:rStyle w:val="rvts2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нормативної грошової оцінки земель несільськогосподарського призначення (крім земель населених пунктів)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затвердженої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77146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постановою Кабінету Міністрів України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7146">
        <w:rPr>
          <w:rStyle w:val="rvts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від 23 листопада 2011 р. № 1278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орядку 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нормативної грошової оцінки земель несільськогосподарського призначення (крім земель населених пунктів), затвердженого 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наказом Міністерства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аграрної політики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 продовольства України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714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22.08.2013  № 508.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Дана технічна документація про нормативно грошову оцінку земель пройшла  державну експертизу, про що Головним управлінням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у Дніпропетровській області складений висновок державної експертизи землевпорядної документації від 11 грудня 2018р. №1027.                            </w:t>
      </w:r>
    </w:p>
    <w:p w:rsidR="002800D3" w:rsidRPr="00831586" w:rsidRDefault="002800D3" w:rsidP="002800D3">
      <w:pPr>
        <w:pStyle w:val="a4"/>
        <w:ind w:left="23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3158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Підтвердження проблеми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2800D3" w:rsidRPr="00977146" w:rsidRDefault="002800D3" w:rsidP="002800D3">
      <w:pPr>
        <w:pStyle w:val="a4"/>
        <w:ind w:left="-142" w:firstLine="5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267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впровадження нормативної грошової оцінки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земель </w:t>
      </w:r>
      <w:r w:rsidRPr="000267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потрібні заходи (внесення даних про </w:t>
      </w:r>
      <w:r w:rsidRPr="000267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нормативно грошову оцінку земельних ділянок до Державного земельного кадастру)</w:t>
      </w:r>
      <w:r w:rsidRPr="000267C4">
        <w:rPr>
          <w:rFonts w:ascii="Times New Roman" w:hAnsi="Times New Roman" w:cs="Times New Roman"/>
          <w:color w:val="000000"/>
          <w:sz w:val="24"/>
          <w:szCs w:val="24"/>
          <w:lang w:val="uk-UA"/>
        </w:rPr>
        <w:t>, що регламентують надання підприємству, інформації про нормативну грошову оцінку земельних ділянок для обчислення земельного податку.</w:t>
      </w:r>
      <w:r>
        <w:rPr>
          <w:color w:val="000000"/>
          <w:sz w:val="28"/>
          <w:szCs w:val="28"/>
          <w:lang w:val="uk-UA"/>
        </w:rPr>
        <w:t xml:space="preserve"> </w:t>
      </w:r>
      <w:r w:rsidRPr="00082C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Таким чином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є доцільним вважати, що питання,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нормативну грошову оцінку</w:t>
      </w:r>
      <w:r w:rsidRPr="009771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земельних ділянок що знаходяться в постійному користування ПРАТ «ІНГЗК» (за кадастровими номерами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1225855300:09:009:0643, 12258553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00:09:009:0657) не врегульоване.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диним шляхом приведення земельних відносин у відповідність </w:t>
      </w:r>
      <w:r w:rsidRPr="00082C7D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до Конституції України, </w:t>
      </w:r>
      <w:r w:rsidRPr="00082C7D">
        <w:rPr>
          <w:rFonts w:ascii="Times New Roman" w:hAnsi="Times New Roman" w:cs="Times New Roman"/>
          <w:lang w:val="uk-UA"/>
        </w:rPr>
        <w:t>Земельного кодексу України, Закону України «Про оцінку земель»</w:t>
      </w:r>
      <w:r>
        <w:rPr>
          <w:sz w:val="28"/>
          <w:szCs w:val="28"/>
          <w:lang w:val="uk-UA"/>
        </w:rPr>
        <w:t xml:space="preserve"> 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прийняття </w:t>
      </w:r>
      <w:proofErr w:type="spellStart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Карпівською</w:t>
      </w:r>
      <w:proofErr w:type="spellEnd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сільською радою рішення «Про затвердження технічної документації про нормативну грошову оцінку земельних ділянок (для розміщення та експлуатації основних, підсобних і допоміжних будівель та споруд підприємствами, що пов’язанні з користуванням надрами – 11.01) які перебувають в користуванні ПРАТ «Інгулецький гірничо- збагачувальни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й комбінат»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Карпів</w:t>
      </w:r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ської</w:t>
      </w:r>
      <w:proofErr w:type="spellEnd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</w:t>
      </w:r>
      <w:proofErr w:type="spellStart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Широківського</w:t>
      </w:r>
      <w:proofErr w:type="spellEnd"/>
      <w:r w:rsidRPr="009771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району Дніпропетровської області» (за межами населених пунктів).</w:t>
      </w:r>
    </w:p>
    <w:p w:rsidR="002800D3" w:rsidRDefault="002800D3" w:rsidP="002800D3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00D3" w:rsidRDefault="002800D3" w:rsidP="002800D3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47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групи (підгрупи), на які проблеми справляють вплив:</w:t>
      </w:r>
    </w:p>
    <w:p w:rsidR="002800D3" w:rsidRPr="00B336CE" w:rsidRDefault="002800D3" w:rsidP="002800D3">
      <w:pPr>
        <w:widowControl w:val="0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2791"/>
        <w:gridCol w:w="2502"/>
      </w:tblGrid>
      <w:tr w:rsidR="002800D3" w:rsidRPr="00E7172F" w:rsidTr="00A27251"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5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Групи (підгрупи)</w:t>
              </w:r>
            </w:hyperlink>
          </w:p>
        </w:tc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6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Так</w:t>
              </w:r>
            </w:hyperlink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7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Ні</w:t>
              </w:r>
            </w:hyperlink>
          </w:p>
        </w:tc>
      </w:tr>
      <w:tr w:rsidR="002800D3" w:rsidRPr="00E7172F" w:rsidTr="00A27251"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Громадяни</w:t>
              </w:r>
            </w:hyperlink>
          </w:p>
        </w:tc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9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 xml:space="preserve"> HYPERLINK "http://search.ligazakon.ua/l_doc2.nsf/link1/KP151151.html" \t "_top" </w:instrText>
            </w:r>
            <w:r>
              <w:fldChar w:fldCharType="separate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fldChar w:fldCharType="end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2800D3" w:rsidRPr="00E7172F" w:rsidTr="00A27251"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Держава</w:t>
              </w:r>
            </w:hyperlink>
            <w:r w:rsidRPr="00E717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(орган місцевого самоврядування)</w:t>
            </w:r>
          </w:p>
        </w:tc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 xml:space="preserve"> HYPERLINK "http://search.ligazakon.ua/l_doc2.nsf/link1/KP151151.html" \t "_top" </w:instrText>
            </w:r>
            <w:r>
              <w:fldChar w:fldCharType="separate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fldChar w:fldCharType="end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2800D3" w:rsidRPr="00E7172F" w:rsidTr="00A27251"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Суб'єкти господарювання,</w:t>
              </w:r>
            </w:hyperlink>
          </w:p>
        </w:tc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3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 xml:space="preserve"> HYPERLINK "http://search.ligazakon.ua/l_doc2.nsf/link1/KP151151.html" \t "_top" </w:instrText>
            </w:r>
            <w:r>
              <w:fldChar w:fldCharType="separate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fldChar w:fldCharType="end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2800D3" w:rsidRPr="00E7172F" w:rsidTr="00A27251">
        <w:tc>
          <w:tcPr>
            <w:tcW w:w="2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4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у тому числі суб'єкти малого підприємництва*</w:t>
              </w:r>
            </w:hyperlink>
          </w:p>
        </w:tc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5" w:tgtFrame="_top" w:history="1">
              <w:r w:rsidRPr="00E717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 </w:t>
              </w:r>
            </w:hyperlink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0D3" w:rsidRPr="00E7172F" w:rsidRDefault="002800D3" w:rsidP="00A2725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 xml:space="preserve"> HYPERLINK "http://search.ligazakon.ua/l_doc2.nsf/link1/KP151151.html" \t "_top" </w:instrText>
            </w:r>
            <w:r>
              <w:fldChar w:fldCharType="separate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fldChar w:fldCharType="end"/>
            </w:r>
            <w:r w:rsidRPr="00E71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2800D3" w:rsidRPr="00B95604" w:rsidRDefault="002800D3" w:rsidP="002800D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</w:rPr>
      </w:pPr>
    </w:p>
    <w:p w:rsidR="002800D3" w:rsidRPr="00F4336D" w:rsidRDefault="002800D3" w:rsidP="002800D3">
      <w:pPr>
        <w:pStyle w:val="a3"/>
        <w:widowControl w:val="0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433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 державного регулювання:</w:t>
      </w:r>
    </w:p>
    <w:p w:rsidR="002800D3" w:rsidRPr="00012479" w:rsidRDefault="002800D3" w:rsidP="002800D3">
      <w:pPr>
        <w:widowControl w:val="0"/>
        <w:tabs>
          <w:tab w:val="left" w:pos="0"/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00D3" w:rsidRPr="00AC569E" w:rsidRDefault="002800D3" w:rsidP="002800D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врегулювання правовідносин між </w:t>
      </w:r>
      <w:proofErr w:type="spellStart"/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Карпівською</w:t>
      </w:r>
      <w:proofErr w:type="spellEnd"/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сільською   радою та землекористувачем земельних ділянок;</w:t>
      </w:r>
    </w:p>
    <w:p w:rsidR="002800D3" w:rsidRPr="00AC569E" w:rsidRDefault="002800D3" w:rsidP="002800D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забезпеч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ення прозорості прийняття рішення органом</w:t>
      </w:r>
      <w:r w:rsidRPr="00AC5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місцевого самоврядування, у питаннях розпорядження землями</w:t>
      </w: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800D3" w:rsidRPr="00AC569E" w:rsidRDefault="002800D3" w:rsidP="002800D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довіри до сільської ради;</w:t>
      </w:r>
    </w:p>
    <w:p w:rsidR="002800D3" w:rsidRPr="00AC569E" w:rsidRDefault="002800D3" w:rsidP="002800D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стимулювання, ефективного та раціонального використання землі на засадах ринкової економіки, визначення ринкової вартості земельних ділянок </w:t>
      </w:r>
    </w:p>
    <w:p w:rsidR="002800D3" w:rsidRPr="00AC569E" w:rsidRDefault="002800D3" w:rsidP="002800D3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доходів місцевого бюджету від надходження плати за землю;</w:t>
      </w:r>
    </w:p>
    <w:p w:rsidR="002800D3" w:rsidRPr="00AC569E" w:rsidRDefault="002800D3" w:rsidP="002800D3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pacing w:after="150" w:line="240" w:lineRule="auto"/>
        <w:ind w:left="142" w:firstLine="450"/>
        <w:contextualSpacing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задоволення інтересів держави та територіальної громади, можливість направлення додаткових коштів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 – економічний розвиток території сільської ради.</w:t>
      </w:r>
      <w:r w:rsidRPr="00AC56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800D3" w:rsidRPr="00537A38" w:rsidRDefault="002800D3" w:rsidP="002800D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7A38">
        <w:rPr>
          <w:rFonts w:ascii="Times New Roman" w:hAnsi="Times New Roman" w:cs="Times New Roman"/>
          <w:b/>
          <w:sz w:val="24"/>
          <w:szCs w:val="24"/>
          <w:lang w:val="uk-UA"/>
        </w:rPr>
        <w:t>3.Визначення та оцінка альтернативних способів досягнення цілей</w:t>
      </w:r>
    </w:p>
    <w:p w:rsidR="002800D3" w:rsidRPr="00B8048F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048F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альтернативних способів</w:t>
      </w:r>
    </w:p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00D3" w:rsidRPr="00AC569E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ході пошуку альтернативних способів досягнення встановлених цілей доцільно розглянути реалістичні альтернативи, які можуть бути впроваджені </w:t>
      </w:r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на сучасному етапі розвитку суспільства. Наведених у таблиці альтернатив </w:t>
      </w:r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для проведення аналізу </w:t>
      </w:r>
      <w:proofErr w:type="spellStart"/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t>вигод</w:t>
      </w:r>
      <w:proofErr w:type="spellEnd"/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витрат буде достатньою для того, щоб оцінка дії регуляторного акту була якісною.</w:t>
      </w:r>
    </w:p>
    <w:p w:rsidR="002800D3" w:rsidRPr="00AC569E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522"/>
      </w:tblGrid>
      <w:tr w:rsidR="002800D3" w:rsidRPr="00AC569E" w:rsidTr="00A27251">
        <w:tc>
          <w:tcPr>
            <w:tcW w:w="4111" w:type="dxa"/>
          </w:tcPr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5522" w:type="dxa"/>
          </w:tcPr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5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2800D3" w:rsidRPr="00AC569E" w:rsidTr="00A27251">
        <w:tc>
          <w:tcPr>
            <w:tcW w:w="4111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Залишення існуючої на даний момент ситуації без змін </w:t>
            </w:r>
          </w:p>
        </w:tc>
        <w:tc>
          <w:tcPr>
            <w:tcW w:w="5522" w:type="dxa"/>
          </w:tcPr>
          <w:p w:rsidR="002800D3" w:rsidRPr="00AC569E" w:rsidRDefault="002800D3" w:rsidP="00A27251">
            <w:pPr>
              <w:widowControl w:val="0"/>
              <w:shd w:val="clear" w:color="auto" w:fill="FFFFFF"/>
              <w:spacing w:after="150" w:line="240" w:lineRule="auto"/>
              <w:ind w:left="489"/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Зазначена альтернатива є неприйнятною оскільки призведе до:</w:t>
            </w:r>
          </w:p>
          <w:p w:rsidR="002800D3" w:rsidRPr="00AC569E" w:rsidRDefault="002800D3" w:rsidP="002800D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4"/>
              </w:tabs>
              <w:spacing w:after="150" w:line="240" w:lineRule="auto"/>
              <w:ind w:left="147" w:firstLine="420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недоотримання додаткових коштів 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 плати за землю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 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місцевого бюджету;</w:t>
            </w:r>
          </w:p>
          <w:p w:rsidR="002800D3" w:rsidRPr="00AC569E" w:rsidRDefault="002800D3" w:rsidP="002800D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147" w:firstLine="420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неможливості направлення додаткових коштів 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реалізацію 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соціально-економічного розвитку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громади</w:t>
            </w: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;</w:t>
            </w:r>
          </w:p>
          <w:p w:rsidR="002800D3" w:rsidRPr="00AC569E" w:rsidRDefault="002800D3" w:rsidP="002800D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147" w:firstLine="420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неможливості збільшення фінансування соціальної сфери та додаткового фінансування комунального господарства;</w:t>
            </w:r>
          </w:p>
          <w:p w:rsidR="002800D3" w:rsidRPr="00AC569E" w:rsidRDefault="002800D3" w:rsidP="002800D3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147" w:firstLine="420"/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порушення чинного законодавства України. </w:t>
            </w:r>
          </w:p>
        </w:tc>
      </w:tr>
      <w:tr w:rsidR="002800D3" w:rsidRPr="00F90F0E" w:rsidTr="00A27251">
        <w:tc>
          <w:tcPr>
            <w:tcW w:w="4111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запропонованого</w:t>
            </w:r>
          </w:p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регуляторного акту </w:t>
            </w:r>
          </w:p>
        </w:tc>
        <w:tc>
          <w:tcPr>
            <w:tcW w:w="5522" w:type="dxa"/>
          </w:tcPr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атвердження технічної документації про нормативну грошову оцінку земельних ділянок (для розміщення та експлуатації основних, підсобних і допоміжних будівель та споруд підприємствами, що пов’язанні з користуванням надрами – 11.01),які перебувають в користуванні ПРАТ «Інгулецький гірничо- збагачувальний комбінат» на території </w:t>
            </w:r>
            <w:proofErr w:type="spellStart"/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Карпівської</w:t>
            </w:r>
            <w:proofErr w:type="spellEnd"/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сільської ради </w:t>
            </w:r>
            <w:proofErr w:type="spellStart"/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Широківського</w:t>
            </w:r>
            <w:proofErr w:type="spellEnd"/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району </w:t>
            </w:r>
            <w:r w:rsidRPr="00AC56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Дніпропетровської області» (за межами населених пунктів), забезпечить застосування нової нормативної грошової оцінки, для визначення плати за землю у відповідності до вимог чинного законодавства України.</w:t>
            </w:r>
          </w:p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Зазначена альтернатива є актуальною, оскільки вона відповідає вимогам чинного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законодавства України, забезпечить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надходження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місцевого бюджету та 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лює ефективне землекористування, що призведе до 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цілей державного регулювання земельних відносин.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00D3" w:rsidRPr="00AC569E" w:rsidRDefault="002800D3" w:rsidP="00A27251">
            <w:pPr>
              <w:widowControl w:val="0"/>
              <w:tabs>
                <w:tab w:val="left" w:pos="418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00D3" w:rsidRPr="00F90F0E" w:rsidTr="00A27251">
        <w:tc>
          <w:tcPr>
            <w:tcW w:w="4111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Альтернатива 3</w:t>
            </w:r>
          </w:p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Розв’язання зазначеної проблеми за допомогою ринкових механізмів </w:t>
            </w:r>
          </w:p>
        </w:tc>
        <w:tc>
          <w:tcPr>
            <w:tcW w:w="5522" w:type="dxa"/>
          </w:tcPr>
          <w:p w:rsidR="002800D3" w:rsidRPr="00AC569E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Дане питання неможливо врегулювати 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 рахунок використання ринкових механізмі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C5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оскільки розпорядження землями державної та комунальної власності в порядку затвердження нормативної грошової оцінки земель покладено на органи місцевого самоврядування за місцем розташування земельної ділянки. </w:t>
            </w:r>
          </w:p>
        </w:tc>
      </w:tr>
    </w:tbl>
    <w:p w:rsidR="002800D3" w:rsidRPr="00AC569E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569E">
        <w:rPr>
          <w:rFonts w:ascii="Times New Roman" w:eastAsia="Times New Roman" w:hAnsi="Times New Roman" w:cs="Times New Roman"/>
          <w:sz w:val="24"/>
          <w:szCs w:val="24"/>
          <w:lang w:val="uk-UA"/>
        </w:rPr>
        <w:t>Надалі Альтернатива 3 не розглядатиметься, оскільки вона є недоцільною та не має жодного впливу на реалізацію цілей.</w:t>
      </w:r>
    </w:p>
    <w:p w:rsidR="002800D3" w:rsidRPr="00AC569E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0D3" w:rsidRPr="00AC569E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3A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 впливу на сферу інтересів органу місцевого самоврядування</w:t>
      </w: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686"/>
        <w:gridCol w:w="3396"/>
      </w:tblGrid>
      <w:tr w:rsidR="002800D3" w:rsidRPr="00DB3AC1" w:rsidTr="00A27251">
        <w:tc>
          <w:tcPr>
            <w:tcW w:w="2268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68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39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2800D3" w:rsidRPr="00DB3AC1" w:rsidTr="00A27251">
        <w:tc>
          <w:tcPr>
            <w:tcW w:w="2268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368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3396" w:type="dxa"/>
          </w:tcPr>
          <w:p w:rsidR="002800D3" w:rsidRPr="00DB3AC1" w:rsidRDefault="002800D3" w:rsidP="00A2725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Низькі  надходження від сплати за земельний податок до місцевого бюджету.</w:t>
            </w:r>
          </w:p>
        </w:tc>
      </w:tr>
      <w:tr w:rsidR="002800D3" w:rsidRPr="00DB3AC1" w:rsidTr="00A27251">
        <w:tc>
          <w:tcPr>
            <w:tcW w:w="2268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3686" w:type="dxa"/>
          </w:tcPr>
          <w:p w:rsidR="002800D3" w:rsidRPr="00DB3AC1" w:rsidRDefault="002800D3" w:rsidP="002800D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8"/>
              </w:tabs>
              <w:spacing w:after="150" w:line="240" w:lineRule="auto"/>
              <w:ind w:left="33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Забезпечить дотримання вимог Закону України «Про оцінку земель», Земельного кодексу України.</w:t>
            </w:r>
          </w:p>
          <w:p w:rsidR="002800D3" w:rsidRPr="00DB3AC1" w:rsidRDefault="002800D3" w:rsidP="002800D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8"/>
              </w:tabs>
              <w:spacing w:after="150" w:line="240" w:lineRule="auto"/>
              <w:ind w:left="33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Забезпечить додаткові надходження до місцевого бюджету від сплати за землю.</w:t>
            </w:r>
          </w:p>
          <w:p w:rsidR="002800D3" w:rsidRPr="00DB3AC1" w:rsidRDefault="002800D3" w:rsidP="002800D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98"/>
              </w:tabs>
              <w:spacing w:after="150" w:line="240" w:lineRule="auto"/>
              <w:ind w:left="33" w:firstLine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Створить сприятливі фінансові можливості сільської ради для задоволення соціальних та інших потреб територіальної громади.</w:t>
            </w:r>
            <w:r w:rsidRPr="00DB3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3396" w:type="dxa"/>
          </w:tcPr>
          <w:p w:rsidR="002800D3" w:rsidRPr="00DB3AC1" w:rsidRDefault="002800D3" w:rsidP="00A272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пов’язані </w:t>
            </w:r>
            <w:r w:rsidRPr="00DB3AC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з адмініструванням регуляторного </w:t>
            </w:r>
            <w:proofErr w:type="spellStart"/>
            <w:r w:rsidRPr="00DB3AC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DB3AC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B3A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Оцінка впливу на сферу інтересів громадян</w:t>
      </w: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 регуляторного акту не поширюється на сферу інтересів громадян, так як дана  нормативно грошова оцінка земель застосовується до окремого суб’єкту господарювання </w:t>
      </w:r>
      <w:r w:rsidRPr="00DB3A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ПРАТ «Інгулецький гірничо- збагачувальний комбінат». </w:t>
      </w: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685"/>
        <w:gridCol w:w="3402"/>
      </w:tblGrid>
      <w:tr w:rsidR="002800D3" w:rsidRPr="00DB3AC1" w:rsidTr="00A27251">
        <w:tc>
          <w:tcPr>
            <w:tcW w:w="269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685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402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2800D3" w:rsidRPr="00DB3AC1" w:rsidTr="00A27251">
        <w:tc>
          <w:tcPr>
            <w:tcW w:w="269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3685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3402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2800D3" w:rsidRPr="00DB3AC1" w:rsidTr="00A27251">
        <w:tc>
          <w:tcPr>
            <w:tcW w:w="269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3685" w:type="dxa"/>
          </w:tcPr>
          <w:p w:rsidR="002800D3" w:rsidRPr="00DB3AC1" w:rsidRDefault="002800D3" w:rsidP="00A27251">
            <w:pPr>
              <w:widowControl w:val="0"/>
              <w:shd w:val="clear" w:color="auto" w:fill="FFFFFF"/>
              <w:spacing w:after="15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</w:tr>
    </w:tbl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B3AC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Оцінка впливу на сферу інтересів суб`єктів господарювання</w:t>
      </w: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705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E6E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Для обрахування показнику враховано інформацію державної статистичної звітності</w:t>
      </w:r>
    </w:p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9"/>
        <w:gridCol w:w="961"/>
        <w:gridCol w:w="1204"/>
        <w:gridCol w:w="1075"/>
        <w:gridCol w:w="1016"/>
        <w:gridCol w:w="984"/>
      </w:tblGrid>
      <w:tr w:rsidR="002800D3" w:rsidRPr="00DB3AC1" w:rsidTr="00A27251">
        <w:tc>
          <w:tcPr>
            <w:tcW w:w="4390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59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Великі</w:t>
            </w:r>
          </w:p>
        </w:tc>
        <w:tc>
          <w:tcPr>
            <w:tcW w:w="120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1075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Малі</w:t>
            </w:r>
          </w:p>
        </w:tc>
        <w:tc>
          <w:tcPr>
            <w:tcW w:w="101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Мікро</w:t>
            </w:r>
          </w:p>
        </w:tc>
        <w:tc>
          <w:tcPr>
            <w:tcW w:w="98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2800D3" w:rsidRPr="00DB3AC1" w:rsidTr="00A27251">
        <w:tc>
          <w:tcPr>
            <w:tcW w:w="4390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суб`єктів господарювання, що підпадають під дію регулювання, одиниць</w:t>
            </w:r>
          </w:p>
        </w:tc>
        <w:tc>
          <w:tcPr>
            <w:tcW w:w="959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75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8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800D3" w:rsidRPr="00DB3AC1" w:rsidTr="00A27251">
        <w:tc>
          <w:tcPr>
            <w:tcW w:w="4390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959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0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75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16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84" w:type="dxa"/>
          </w:tcPr>
          <w:p w:rsidR="002800D3" w:rsidRPr="00DB3AC1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3A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</w:tc>
      </w:tr>
    </w:tbl>
    <w:p w:rsidR="002800D3" w:rsidRPr="00DB3AC1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3414"/>
        <w:gridCol w:w="3593"/>
      </w:tblGrid>
      <w:tr w:rsidR="002800D3" w:rsidRPr="00012479" w:rsidTr="00A27251">
        <w:tc>
          <w:tcPr>
            <w:tcW w:w="2621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2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414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2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593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2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Витрати</w:t>
            </w:r>
          </w:p>
        </w:tc>
      </w:tr>
      <w:tr w:rsidR="002800D3" w:rsidRPr="00012479" w:rsidTr="00A27251">
        <w:tc>
          <w:tcPr>
            <w:tcW w:w="2621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24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1</w:t>
            </w:r>
          </w:p>
        </w:tc>
        <w:tc>
          <w:tcPr>
            <w:tcW w:w="3414" w:type="dxa"/>
          </w:tcPr>
          <w:p w:rsidR="002800D3" w:rsidRPr="00796456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964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Сплата земельного податку за мінімальною нормативною </w:t>
            </w:r>
            <w:r w:rsidRPr="00796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грошовою оцінкою земельної ділянки, що передбачена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</w:t>
            </w:r>
          </w:p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одиницю</w:t>
            </w:r>
            <w:r w:rsidRPr="00796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площі ріллі по області</w:t>
            </w:r>
            <w:r w:rsidRPr="00796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затверджена  Наказом № 262 від 23.05.2017р. «</w:t>
            </w:r>
            <w:r w:rsidRPr="007964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затвердження Порядку нормативної грошової оцінки земель сільськогосподарського призначення»</w:t>
            </w:r>
            <w:r w:rsidRPr="000124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93" w:type="dxa"/>
          </w:tcPr>
          <w:p w:rsidR="002800D3" w:rsidRPr="0001476A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01476A">
              <w:rPr>
                <w:rFonts w:ascii="Times New Roman" w:eastAsia="Times New Roman" w:hAnsi="Times New Roman" w:cs="Times New Roman"/>
                <w:lang w:val="uk-UA"/>
              </w:rPr>
              <w:t xml:space="preserve">плата земельного податку за користування земельними ділянками,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буде сплачуватися від</w:t>
            </w:r>
            <w:r w:rsidRPr="0001476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мінімальної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нормативної</w:t>
            </w:r>
            <w:r w:rsidRPr="007964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грошової оцінки</w:t>
            </w:r>
            <w:r w:rsidRPr="00796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2800D3" w:rsidRPr="00012479" w:rsidTr="00A27251">
        <w:tc>
          <w:tcPr>
            <w:tcW w:w="2621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24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Альтернатива 2</w:t>
            </w:r>
          </w:p>
        </w:tc>
        <w:tc>
          <w:tcPr>
            <w:tcW w:w="3414" w:type="dxa"/>
          </w:tcPr>
          <w:p w:rsidR="002800D3" w:rsidRDefault="002800D3" w:rsidP="00280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3"/>
              </w:tabs>
              <w:spacing w:after="0" w:line="240" w:lineRule="auto"/>
              <w:ind w:left="73" w:firstLine="2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1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Забезпечить  дотримання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вимог </w:t>
            </w:r>
            <w:r w:rsidRPr="00871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законодавства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порядку використання  </w:t>
            </w:r>
            <w:r w:rsidRPr="00871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нормативної грошової оцінки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сплати земельного </w:t>
            </w:r>
            <w:r w:rsidRPr="00871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податку.</w:t>
            </w:r>
          </w:p>
          <w:p w:rsidR="002800D3" w:rsidRPr="00871FCA" w:rsidRDefault="002800D3" w:rsidP="00280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73"/>
              </w:tabs>
              <w:spacing w:after="0" w:line="240" w:lineRule="auto"/>
              <w:ind w:left="73" w:firstLine="28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Вдосконалить відносини між сільською радою та суб’єктом господарювання.</w:t>
            </w:r>
          </w:p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93" w:type="dxa"/>
          </w:tcPr>
          <w:p w:rsidR="002800D3" w:rsidRPr="00012479" w:rsidRDefault="002800D3" w:rsidP="00A2725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10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Сплата земельного податку за користування земельними ділянками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нової державної нормативної грошової оцінки земель.</w:t>
            </w:r>
          </w:p>
        </w:tc>
      </w:tr>
    </w:tbl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00D3" w:rsidRPr="00DB3AC1" w:rsidRDefault="002800D3" w:rsidP="002800D3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3A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Вибір найбільш оптимального альтернативного способу досягнення цілей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0" w:name="n153"/>
      <w:bookmarkEnd w:id="0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1" w:name="n154"/>
      <w:bookmarkEnd w:id="1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4 - цілі прийняття регуляторного </w:t>
      </w:r>
      <w:proofErr w:type="spellStart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акта</w:t>
      </w:r>
      <w:proofErr w:type="spellEnd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, які можуть бути досягнуті повною мірою (проблема більше існувати не буде);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2" w:name="n155"/>
      <w:bookmarkEnd w:id="2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3 - цілі прийняття регуляторного </w:t>
      </w:r>
      <w:proofErr w:type="spellStart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акта</w:t>
      </w:r>
      <w:proofErr w:type="spellEnd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3" w:name="n156"/>
      <w:bookmarkEnd w:id="3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2 - цілі прийняття регуляторного </w:t>
      </w:r>
      <w:proofErr w:type="spellStart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акта</w:t>
      </w:r>
      <w:proofErr w:type="spellEnd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2800D3" w:rsidRPr="00DB3AC1" w:rsidRDefault="002800D3" w:rsidP="002800D3">
      <w:pPr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4" w:name="n157"/>
      <w:bookmarkEnd w:id="4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1 - цілі прийняття регуляторного </w:t>
      </w:r>
      <w:proofErr w:type="spellStart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акта</w:t>
      </w:r>
      <w:proofErr w:type="spellEnd"/>
      <w:r w:rsidRPr="00DB3AC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, які не можуть бути досягнуті (проблема продовжує існувати).</w:t>
      </w:r>
    </w:p>
    <w:p w:rsidR="002800D3" w:rsidRPr="00012479" w:rsidRDefault="002800D3" w:rsidP="002800D3">
      <w:pPr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6379"/>
      </w:tblGrid>
      <w:tr w:rsidR="002800D3" w:rsidRPr="00012479" w:rsidTr="00A27251">
        <w:tc>
          <w:tcPr>
            <w:tcW w:w="1809" w:type="dxa"/>
          </w:tcPr>
          <w:p w:rsidR="002800D3" w:rsidRPr="00F823E9" w:rsidRDefault="002800D3" w:rsidP="00A272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 xml:space="preserve">Рейтинг результативності (досягнення цілей </w:t>
            </w: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br/>
            </w: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lastRenderedPageBreak/>
              <w:t>під час вирішення проблеми)</w:t>
            </w:r>
          </w:p>
        </w:tc>
        <w:tc>
          <w:tcPr>
            <w:tcW w:w="1418" w:type="dxa"/>
          </w:tcPr>
          <w:p w:rsidR="002800D3" w:rsidRPr="00F823E9" w:rsidRDefault="002800D3" w:rsidP="00A272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lastRenderedPageBreak/>
              <w:t xml:space="preserve">Бал результативності (за </w:t>
            </w: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lastRenderedPageBreak/>
              <w:t>чотирибальною системою оцінки)</w:t>
            </w:r>
          </w:p>
        </w:tc>
        <w:tc>
          <w:tcPr>
            <w:tcW w:w="6379" w:type="dxa"/>
          </w:tcPr>
          <w:p w:rsidR="002800D3" w:rsidRPr="00F823E9" w:rsidRDefault="002800D3" w:rsidP="00A2725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lastRenderedPageBreak/>
              <w:t xml:space="preserve">Коментарі щодо присвоєння відповідного </w:t>
            </w:r>
            <w:proofErr w:type="spellStart"/>
            <w:r w:rsidRPr="00F823E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uk-UA"/>
              </w:rPr>
              <w:t>бала</w:t>
            </w:r>
            <w:proofErr w:type="spellEnd"/>
          </w:p>
        </w:tc>
      </w:tr>
      <w:tr w:rsidR="002800D3" w:rsidRPr="00F90F0E" w:rsidTr="00A27251">
        <w:trPr>
          <w:trHeight w:val="698"/>
        </w:trPr>
        <w:tc>
          <w:tcPr>
            <w:tcW w:w="1809" w:type="dxa"/>
          </w:tcPr>
          <w:p w:rsidR="002800D3" w:rsidRPr="00CE3FD7" w:rsidRDefault="002800D3" w:rsidP="00A27251">
            <w:pPr>
              <w:pStyle w:val="a4"/>
              <w:rPr>
                <w:rFonts w:ascii="Times New Roman" w:hAnsi="Times New Roman" w:cs="Times New Roman"/>
                <w:lang w:val="uk-UA" w:eastAsia="ru-RU"/>
              </w:rPr>
            </w:pPr>
            <w:r w:rsidRPr="00CE3FD7">
              <w:rPr>
                <w:rFonts w:ascii="Times New Roman" w:hAnsi="Times New Roman" w:cs="Times New Roman"/>
                <w:lang w:val="uk-UA" w:eastAsia="ru-RU"/>
              </w:rPr>
              <w:t xml:space="preserve">Альтернатива 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2800D3" w:rsidRPr="00CE3FD7" w:rsidRDefault="002800D3" w:rsidP="00A27251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CE3FD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79" w:type="dxa"/>
          </w:tcPr>
          <w:p w:rsidR="002800D3" w:rsidRPr="00CE3FD7" w:rsidRDefault="002800D3" w:rsidP="00A27251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Дана альтернатива не є прийнятною, оскільки земельний податок буде сплачуватися  платником від мінімальної нормативної грошової оцінки земель, що призведе до менших надходження до місцевого бюджету та не дозволить в повній мірі профінансувати заходи соціального та економічного значення об’єднаної територіальної громади.   </w:t>
            </w:r>
            <w:r w:rsidRPr="00CE3FD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800D3" w:rsidRPr="00FA65F9" w:rsidTr="00A27251">
        <w:tc>
          <w:tcPr>
            <w:tcW w:w="1809" w:type="dxa"/>
          </w:tcPr>
          <w:p w:rsidR="002800D3" w:rsidRPr="00CE3FD7" w:rsidRDefault="002800D3" w:rsidP="00A27251">
            <w:pPr>
              <w:pStyle w:val="a4"/>
              <w:rPr>
                <w:rFonts w:ascii="Times New Roman" w:hAnsi="Times New Roman" w:cs="Times New Roman"/>
                <w:lang w:val="uk-UA" w:eastAsia="ru-RU"/>
              </w:rPr>
            </w:pPr>
            <w:r w:rsidRPr="00CE3FD7">
              <w:rPr>
                <w:rFonts w:ascii="Times New Roman" w:hAnsi="Times New Roman" w:cs="Times New Roman"/>
                <w:lang w:val="uk-UA" w:eastAsia="ru-RU"/>
              </w:rPr>
              <w:t>Альтернатива 2</w:t>
            </w:r>
          </w:p>
        </w:tc>
        <w:tc>
          <w:tcPr>
            <w:tcW w:w="1418" w:type="dxa"/>
          </w:tcPr>
          <w:p w:rsidR="002800D3" w:rsidRPr="00CE3FD7" w:rsidRDefault="002800D3" w:rsidP="00A27251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CE3FD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79" w:type="dxa"/>
          </w:tcPr>
          <w:p w:rsidR="002800D3" w:rsidRPr="006F49D7" w:rsidRDefault="002800D3" w:rsidP="00A27251">
            <w:pPr>
              <w:pStyle w:val="a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Прийняття запропонованого регуляторного </w:t>
            </w:r>
            <w:proofErr w:type="spellStart"/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>акта</w:t>
            </w:r>
            <w:proofErr w:type="spellEnd"/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дасть змогу забезпечити:</w:t>
            </w:r>
          </w:p>
          <w:p w:rsidR="002800D3" w:rsidRPr="006F49D7" w:rsidRDefault="002800D3" w:rsidP="002800D3">
            <w:pPr>
              <w:pStyle w:val="a4"/>
              <w:numPr>
                <w:ilvl w:val="0"/>
                <w:numId w:val="1"/>
              </w:numPr>
              <w:ind w:left="34" w:firstLine="53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введення в дію нової нормативної грошової оцінки земель за кадастровими номерами </w:t>
            </w:r>
            <w:r w:rsidRPr="006F49D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1225855300:09:009:0643,1225855300:09:009:0657, </w:t>
            </w: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>що знаходяться в постійному користування ПРАТ «ІНГЗК»</w:t>
            </w:r>
          </w:p>
          <w:p w:rsidR="002800D3" w:rsidRPr="006F49D7" w:rsidRDefault="002800D3" w:rsidP="002800D3">
            <w:pPr>
              <w:pStyle w:val="a4"/>
              <w:numPr>
                <w:ilvl w:val="0"/>
                <w:numId w:val="1"/>
              </w:numPr>
              <w:ind w:left="34" w:firstLine="53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>запровадження чіткого і прозорого визначення вартості земельних ділянок;</w:t>
            </w:r>
          </w:p>
          <w:p w:rsidR="002800D3" w:rsidRPr="006F49D7" w:rsidRDefault="002800D3" w:rsidP="002800D3">
            <w:pPr>
              <w:pStyle w:val="a4"/>
              <w:numPr>
                <w:ilvl w:val="0"/>
                <w:numId w:val="1"/>
              </w:numPr>
              <w:ind w:left="34" w:firstLine="533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практичне застосування нової нормативної грошової оцінки земель для визначення розміру плати за землю у відповідності до вимог чинного законодавства України; </w:t>
            </w:r>
          </w:p>
          <w:p w:rsidR="002800D3" w:rsidRPr="00CE3FD7" w:rsidRDefault="002800D3" w:rsidP="002800D3">
            <w:pPr>
              <w:pStyle w:val="a4"/>
              <w:numPr>
                <w:ilvl w:val="0"/>
                <w:numId w:val="1"/>
              </w:numPr>
              <w:ind w:left="34" w:firstLine="53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наповнення місцевого бюджету, виконання програми соціально - економічного та культурного розвитку територіальної громади.</w:t>
            </w:r>
            <w:r w:rsidRPr="006F49D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</w:tbl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00D3" w:rsidRPr="00F77209" w:rsidRDefault="002800D3" w:rsidP="002800D3">
      <w:pPr>
        <w:pStyle w:val="a4"/>
        <w:numPr>
          <w:ilvl w:val="0"/>
          <w:numId w:val="2"/>
        </w:numPr>
        <w:jc w:val="center"/>
        <w:rPr>
          <w:b/>
          <w:lang w:val="uk-UA"/>
        </w:rPr>
      </w:pP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очікуваних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запропонованого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регуляторного акта,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зокрема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розрахунок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очікуваних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витрат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вигод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суб’єктів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господарювання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громадян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держави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внаслідок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209">
        <w:rPr>
          <w:rFonts w:ascii="Times New Roman" w:hAnsi="Times New Roman" w:cs="Times New Roman"/>
          <w:b/>
          <w:sz w:val="24"/>
          <w:szCs w:val="24"/>
        </w:rPr>
        <w:t>дії</w:t>
      </w:r>
      <w:proofErr w:type="spellEnd"/>
      <w:r w:rsidRPr="00F77209">
        <w:rPr>
          <w:rFonts w:ascii="Times New Roman" w:hAnsi="Times New Roman" w:cs="Times New Roman"/>
          <w:b/>
          <w:sz w:val="24"/>
          <w:szCs w:val="24"/>
        </w:rPr>
        <w:t xml:space="preserve"> регуляторного акта.</w:t>
      </w:r>
    </w:p>
    <w:p w:rsidR="002800D3" w:rsidRDefault="002800D3" w:rsidP="002800D3">
      <w:pPr>
        <w:pStyle w:val="a4"/>
        <w:ind w:left="720"/>
        <w:rPr>
          <w:lang w:val="uk-UA"/>
        </w:rPr>
      </w:pPr>
    </w:p>
    <w:p w:rsidR="002800D3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lang w:val="uk-UA"/>
        </w:rPr>
      </w:pPr>
      <w:r w:rsidRPr="00F77209">
        <w:rPr>
          <w:rFonts w:ascii="Times New Roman" w:hAnsi="Times New Roman" w:cs="Times New Roman"/>
          <w:lang w:val="uk-UA"/>
        </w:rPr>
        <w:t xml:space="preserve">Запровадження нормативно-правового </w:t>
      </w:r>
      <w:proofErr w:type="spellStart"/>
      <w:r w:rsidRPr="00F77209">
        <w:rPr>
          <w:rFonts w:ascii="Times New Roman" w:hAnsi="Times New Roman" w:cs="Times New Roman"/>
          <w:lang w:val="uk-UA"/>
        </w:rPr>
        <w:t>акта</w:t>
      </w:r>
      <w:proofErr w:type="spellEnd"/>
      <w:r w:rsidRPr="00F77209">
        <w:rPr>
          <w:rFonts w:ascii="Times New Roman" w:hAnsi="Times New Roman" w:cs="Times New Roman"/>
          <w:lang w:val="uk-UA"/>
        </w:rPr>
        <w:t>, орієнтованого на реалізацію Закону України «Про оцінку земель», дозволить максимізувати корисність використання ресурсного потенціалу територіальної громади</w:t>
      </w:r>
      <w:r>
        <w:rPr>
          <w:rFonts w:ascii="Times New Roman" w:hAnsi="Times New Roman" w:cs="Times New Roman"/>
          <w:lang w:val="uk-UA"/>
        </w:rPr>
        <w:t>. Регулювання впливає на дві базові</w:t>
      </w:r>
      <w:r w:rsidRPr="00F77209">
        <w:rPr>
          <w:rFonts w:ascii="Times New Roman" w:hAnsi="Times New Roman" w:cs="Times New Roman"/>
          <w:lang w:val="uk-UA"/>
        </w:rPr>
        <w:t xml:space="preserve"> сфер</w:t>
      </w:r>
      <w:r>
        <w:rPr>
          <w:rFonts w:ascii="Times New Roman" w:hAnsi="Times New Roman" w:cs="Times New Roman"/>
          <w:lang w:val="uk-UA"/>
        </w:rPr>
        <w:t xml:space="preserve">и: інтереси територіальної громади ( органу місцевого самоврядування) та суб’єкту </w:t>
      </w:r>
      <w:r w:rsidRPr="00F77209">
        <w:rPr>
          <w:rFonts w:ascii="Times New Roman" w:hAnsi="Times New Roman" w:cs="Times New Roman"/>
          <w:lang w:val="uk-UA"/>
        </w:rPr>
        <w:t xml:space="preserve"> господарювання</w:t>
      </w:r>
      <w:r>
        <w:rPr>
          <w:rFonts w:ascii="Times New Roman" w:hAnsi="Times New Roman" w:cs="Times New Roman"/>
          <w:lang w:val="uk-UA"/>
        </w:rPr>
        <w:t xml:space="preserve"> (</w:t>
      </w:r>
      <w:r w:rsidRPr="00CE3FD7">
        <w:rPr>
          <w:rFonts w:ascii="Times New Roman" w:hAnsi="Times New Roman" w:cs="Times New Roman"/>
          <w:lang w:val="uk-UA"/>
        </w:rPr>
        <w:t>ПРАТ «ІНГЗК</w:t>
      </w:r>
      <w:r>
        <w:rPr>
          <w:rFonts w:ascii="Times New Roman" w:hAnsi="Times New Roman" w:cs="Times New Roman"/>
          <w:lang w:val="uk-UA"/>
        </w:rPr>
        <w:t>), в якого</w:t>
      </w:r>
      <w:r w:rsidRPr="00F77209">
        <w:rPr>
          <w:rFonts w:ascii="Times New Roman" w:hAnsi="Times New Roman" w:cs="Times New Roman"/>
          <w:lang w:val="uk-UA"/>
        </w:rPr>
        <w:t xml:space="preserve"> земельні ділянки знаходяться у </w:t>
      </w:r>
      <w:r>
        <w:rPr>
          <w:rFonts w:ascii="Times New Roman" w:hAnsi="Times New Roman" w:cs="Times New Roman"/>
          <w:lang w:val="uk-UA"/>
        </w:rPr>
        <w:t>постійному користуванні</w:t>
      </w:r>
      <w:r w:rsidRPr="00F77209">
        <w:rPr>
          <w:rFonts w:ascii="Times New Roman" w:hAnsi="Times New Roman" w:cs="Times New Roman"/>
          <w:lang w:val="uk-UA"/>
        </w:rPr>
        <w:t>, що відображено в таблиці:</w:t>
      </w:r>
    </w:p>
    <w:p w:rsidR="002800D3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lang w:val="uk-UA"/>
        </w:rPr>
      </w:pPr>
    </w:p>
    <w:p w:rsidR="002800D3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3"/>
        <w:gridCol w:w="6846"/>
      </w:tblGrid>
      <w:tr w:rsidR="002800D3" w:rsidTr="00A27251">
        <w:tc>
          <w:tcPr>
            <w:tcW w:w="2802" w:type="dxa"/>
          </w:tcPr>
          <w:p w:rsidR="002800D3" w:rsidRPr="00AC569E" w:rsidRDefault="002800D3" w:rsidP="00A27251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569E">
              <w:rPr>
                <w:rFonts w:ascii="Times New Roman" w:hAnsi="Times New Roman" w:cs="Times New Roman"/>
                <w:lang w:val="uk-UA"/>
              </w:rPr>
              <w:t>Сфери впливу</w:t>
            </w:r>
          </w:p>
        </w:tc>
        <w:tc>
          <w:tcPr>
            <w:tcW w:w="6945" w:type="dxa"/>
          </w:tcPr>
          <w:p w:rsidR="002800D3" w:rsidRPr="00AC569E" w:rsidRDefault="002800D3" w:rsidP="00A27251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569E">
              <w:rPr>
                <w:rFonts w:ascii="Times New Roman" w:hAnsi="Times New Roman" w:cs="Times New Roman"/>
                <w:lang w:val="uk-UA"/>
              </w:rPr>
              <w:t>Вид впливу</w:t>
            </w:r>
          </w:p>
        </w:tc>
      </w:tr>
      <w:tr w:rsidR="002800D3" w:rsidTr="00A27251">
        <w:trPr>
          <w:trHeight w:val="350"/>
        </w:trPr>
        <w:tc>
          <w:tcPr>
            <w:tcW w:w="2802" w:type="dxa"/>
            <w:tcBorders>
              <w:bottom w:val="single" w:sz="4" w:space="0" w:color="auto"/>
            </w:tcBorders>
          </w:tcPr>
          <w:p w:rsidR="002800D3" w:rsidRPr="00AC569E" w:rsidRDefault="002800D3" w:rsidP="00A27251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C569E">
              <w:rPr>
                <w:rFonts w:ascii="Times New Roman" w:hAnsi="Times New Roman" w:cs="Times New Roman"/>
                <w:lang w:val="uk-UA"/>
              </w:rPr>
              <w:t>Інтереси суб’єкту господарювання у якого земельні ділянки знаходяться у постійному  користуванні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800D3" w:rsidRPr="00AC569E" w:rsidRDefault="002800D3" w:rsidP="00A27251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569E">
              <w:rPr>
                <w:rFonts w:ascii="Times New Roman" w:hAnsi="Times New Roman" w:cs="Times New Roman"/>
                <w:lang w:val="uk-UA"/>
              </w:rPr>
              <w:t>Збільшення розміру плати за землю.</w:t>
            </w:r>
          </w:p>
        </w:tc>
      </w:tr>
      <w:tr w:rsidR="002800D3" w:rsidTr="00A27251">
        <w:trPr>
          <w:trHeight w:val="389"/>
        </w:trPr>
        <w:tc>
          <w:tcPr>
            <w:tcW w:w="2802" w:type="dxa"/>
            <w:tcBorders>
              <w:top w:val="single" w:sz="4" w:space="0" w:color="auto"/>
            </w:tcBorders>
          </w:tcPr>
          <w:p w:rsidR="002800D3" w:rsidRDefault="002800D3" w:rsidP="00A27251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Інтереси органу місцевого самоврядування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800D3" w:rsidRPr="00AC569E" w:rsidRDefault="002800D3" w:rsidP="00A27251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C569E">
              <w:rPr>
                <w:rFonts w:ascii="Times New Roman" w:hAnsi="Times New Roman" w:cs="Times New Roman"/>
                <w:lang w:val="uk-UA"/>
              </w:rPr>
              <w:t>Забезпечення виконання вимог чинного законодавства України. Зростання надходжень до бюджету міста від плати за землю</w:t>
            </w:r>
          </w:p>
        </w:tc>
      </w:tr>
    </w:tbl>
    <w:p w:rsidR="002800D3" w:rsidRDefault="002800D3" w:rsidP="002800D3">
      <w:pPr>
        <w:pStyle w:val="a4"/>
        <w:rPr>
          <w:rFonts w:ascii="Times New Roman" w:hAnsi="Times New Roman" w:cs="Times New Roman"/>
          <w:lang w:val="uk-UA"/>
        </w:rPr>
      </w:pPr>
    </w:p>
    <w:p w:rsidR="002800D3" w:rsidRDefault="002800D3" w:rsidP="002800D3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00D3" w:rsidRPr="00DB3AC1" w:rsidRDefault="002800D3" w:rsidP="002800D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A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</w:t>
      </w:r>
      <w:proofErr w:type="spellStart"/>
      <w:r w:rsidRPr="00DB3AC1">
        <w:rPr>
          <w:rFonts w:ascii="Times New Roman" w:hAnsi="Times New Roman" w:cs="Times New Roman"/>
          <w:b/>
          <w:sz w:val="24"/>
          <w:szCs w:val="24"/>
          <w:lang w:val="uk-UA"/>
        </w:rPr>
        <w:t>вигод</w:t>
      </w:r>
      <w:proofErr w:type="spellEnd"/>
      <w:r w:rsidRPr="00DB3A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витрат</w:t>
      </w:r>
    </w:p>
    <w:p w:rsidR="002800D3" w:rsidRPr="00E7172F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17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Основними групами впливу даного документу слід вважати: </w:t>
      </w:r>
    </w:p>
    <w:p w:rsidR="002800D3" w:rsidRPr="00E7172F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17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орган місцевого самоврядування (</w:t>
      </w:r>
      <w:proofErr w:type="spellStart"/>
      <w:r w:rsidRPr="00E717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Карпівська</w:t>
      </w:r>
      <w:proofErr w:type="spellEnd"/>
      <w:r w:rsidRPr="00E717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сільська рада); </w:t>
      </w:r>
    </w:p>
    <w:p w:rsidR="002800D3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7172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суб’єкт господарювання, у якого земельні ділянки знаходяться у постійному  користуванні.</w:t>
      </w:r>
    </w:p>
    <w:p w:rsidR="002800D3" w:rsidRPr="00E7172F" w:rsidRDefault="002800D3" w:rsidP="002800D3">
      <w:pPr>
        <w:pStyle w:val="a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800D3" w:rsidRPr="00DB3AC1" w:rsidRDefault="002800D3" w:rsidP="002800D3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3"/>
        <w:gridCol w:w="3784"/>
        <w:gridCol w:w="3222"/>
      </w:tblGrid>
      <w:tr w:rsidR="002800D3" w:rsidTr="00A27251">
        <w:tc>
          <w:tcPr>
            <w:tcW w:w="2660" w:type="dxa"/>
          </w:tcPr>
          <w:p w:rsidR="002800D3" w:rsidRPr="00F66163" w:rsidRDefault="002800D3" w:rsidP="00A27251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6163">
              <w:rPr>
                <w:rFonts w:ascii="Times New Roman" w:hAnsi="Times New Roman" w:cs="Times New Roman"/>
                <w:lang w:val="uk-UA"/>
              </w:rPr>
              <w:t>Група впливу</w:t>
            </w:r>
          </w:p>
        </w:tc>
        <w:tc>
          <w:tcPr>
            <w:tcW w:w="3909" w:type="dxa"/>
          </w:tcPr>
          <w:p w:rsidR="002800D3" w:rsidRPr="00F6616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6163">
              <w:rPr>
                <w:rFonts w:ascii="Times New Roman" w:hAnsi="Times New Roman" w:cs="Times New Roman"/>
                <w:lang w:val="uk-UA"/>
              </w:rPr>
              <w:t>Вигоди</w:t>
            </w:r>
          </w:p>
        </w:tc>
        <w:tc>
          <w:tcPr>
            <w:tcW w:w="3285" w:type="dxa"/>
          </w:tcPr>
          <w:p w:rsidR="002800D3" w:rsidRPr="00F6616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6163">
              <w:rPr>
                <w:rFonts w:ascii="Times New Roman" w:hAnsi="Times New Roman" w:cs="Times New Roman"/>
                <w:lang w:val="uk-UA"/>
              </w:rPr>
              <w:t>Витрати</w:t>
            </w:r>
          </w:p>
        </w:tc>
      </w:tr>
      <w:tr w:rsidR="002800D3" w:rsidTr="00A27251">
        <w:tc>
          <w:tcPr>
            <w:tcW w:w="2660" w:type="dxa"/>
          </w:tcPr>
          <w:p w:rsidR="002800D3" w:rsidRPr="00F66163" w:rsidRDefault="002800D3" w:rsidP="00A27251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місцевого самоврядування</w:t>
            </w:r>
          </w:p>
        </w:tc>
        <w:tc>
          <w:tcPr>
            <w:tcW w:w="3909" w:type="dxa"/>
          </w:tcPr>
          <w:p w:rsidR="002800D3" w:rsidRPr="00F6616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6163">
              <w:rPr>
                <w:rFonts w:ascii="Times New Roman" w:hAnsi="Times New Roman" w:cs="Times New Roman"/>
                <w:lang w:val="uk-UA"/>
              </w:rPr>
              <w:t>Зростання надходжень до місцевого бюджету.</w:t>
            </w:r>
          </w:p>
        </w:tc>
        <w:tc>
          <w:tcPr>
            <w:tcW w:w="3285" w:type="dxa"/>
          </w:tcPr>
          <w:p w:rsidR="002800D3" w:rsidRPr="00F66163" w:rsidRDefault="002800D3" w:rsidP="00A27251">
            <w:pPr>
              <w:pStyle w:val="a4"/>
              <w:rPr>
                <w:rFonts w:ascii="Times New Roman" w:eastAsia="Times New Roman" w:hAnsi="Times New Roman" w:cs="Times New Roman"/>
                <w:lang w:val="uk-UA"/>
              </w:rPr>
            </w:pPr>
            <w:r w:rsidRPr="00F66163">
              <w:rPr>
                <w:rFonts w:ascii="Times New Roman" w:hAnsi="Times New Roman" w:cs="Times New Roman"/>
                <w:lang w:val="uk-UA"/>
              </w:rPr>
              <w:t xml:space="preserve">Витрати на виготовлення технічної документації з нормативної грошової оцінки земель </w:t>
            </w:r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(для розміщення та експлуатації основних, </w:t>
            </w:r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підсобних і допоміжних будівель та споруд підприємствами, що пов’язанні з користуванням надрами – 11.01),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які перебувають в користуванні ПРАТ «Інгулецький гірничо- збагачувальний комбінат» на території </w:t>
            </w:r>
            <w:proofErr w:type="spellStart"/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Карпівської</w:t>
            </w:r>
            <w:proofErr w:type="spellEnd"/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сільської ради </w:t>
            </w:r>
            <w:proofErr w:type="spellStart"/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Широківського</w:t>
            </w:r>
            <w:proofErr w:type="spellEnd"/>
            <w:r w:rsidRPr="00F66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району Дніпропетровської області» (за межами населених пунктів)</w:t>
            </w:r>
            <w:r w:rsidRPr="00F66163">
              <w:rPr>
                <w:rFonts w:ascii="Times New Roman" w:hAnsi="Times New Roman" w:cs="Times New Roman"/>
                <w:lang w:val="uk-UA"/>
              </w:rPr>
              <w:t>. Процедура розробки регуляторного акту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800D3" w:rsidTr="00A27251">
        <w:tc>
          <w:tcPr>
            <w:tcW w:w="2660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Суб’єкт господарювання</w:t>
            </w:r>
          </w:p>
        </w:tc>
        <w:tc>
          <w:tcPr>
            <w:tcW w:w="3909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285" w:type="dxa"/>
          </w:tcPr>
          <w:p w:rsidR="002800D3" w:rsidRDefault="002800D3" w:rsidP="00A272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2800D3" w:rsidRPr="00012479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00D3" w:rsidRPr="002776AC" w:rsidRDefault="002800D3" w:rsidP="002800D3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776AC">
        <w:rPr>
          <w:rFonts w:ascii="Times New Roman" w:hAnsi="Times New Roman" w:cs="Times New Roman"/>
          <w:b/>
          <w:lang w:val="uk-UA"/>
        </w:rPr>
        <w:t>Обґрунтування</w:t>
      </w:r>
      <w:r>
        <w:rPr>
          <w:rFonts w:ascii="Times New Roman" w:hAnsi="Times New Roman" w:cs="Times New Roman"/>
          <w:b/>
          <w:lang w:val="uk-UA"/>
        </w:rPr>
        <w:t xml:space="preserve"> запропонованого строку дії</w:t>
      </w:r>
      <w:r w:rsidRPr="002776AC">
        <w:rPr>
          <w:rFonts w:ascii="Times New Roman" w:hAnsi="Times New Roman" w:cs="Times New Roman"/>
          <w:b/>
          <w:lang w:val="uk-UA"/>
        </w:rPr>
        <w:t xml:space="preserve"> регуляторного </w:t>
      </w:r>
      <w:proofErr w:type="spellStart"/>
      <w:r w:rsidRPr="002776AC">
        <w:rPr>
          <w:rFonts w:ascii="Times New Roman" w:hAnsi="Times New Roman" w:cs="Times New Roman"/>
          <w:b/>
          <w:lang w:val="uk-UA"/>
        </w:rPr>
        <w:t>акта</w:t>
      </w:r>
      <w:proofErr w:type="spellEnd"/>
    </w:p>
    <w:p w:rsidR="002800D3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76AC">
        <w:rPr>
          <w:rFonts w:ascii="Times New Roman" w:hAnsi="Times New Roman" w:cs="Times New Roman"/>
          <w:sz w:val="24"/>
          <w:szCs w:val="24"/>
          <w:lang w:val="uk-UA"/>
        </w:rPr>
        <w:t>Запропонований регуляторний акт запроваджується на термін передбачений статтею 18 Закону України «Про оцінку земель» (на момент розробки регуляторного акту нормативна грошова оцінка земельних ділянок несільськогосподарського призначення прово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диться не рідше як один раз у </w:t>
      </w:r>
      <w:r w:rsidRPr="002776A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-10</w:t>
      </w:r>
      <w:r w:rsidRPr="002776AC">
        <w:rPr>
          <w:rFonts w:ascii="Times New Roman" w:hAnsi="Times New Roman" w:cs="Times New Roman"/>
          <w:sz w:val="24"/>
          <w:szCs w:val="24"/>
          <w:lang w:val="uk-UA"/>
        </w:rPr>
        <w:t xml:space="preserve"> років). При зміні чинного законодавства термін дії регуляторного акту може бути змінений.</w:t>
      </w:r>
    </w:p>
    <w:p w:rsidR="002800D3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00D3" w:rsidRPr="002776AC" w:rsidRDefault="002800D3" w:rsidP="002800D3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76AC">
        <w:rPr>
          <w:rFonts w:ascii="Times New Roman" w:hAnsi="Times New Roman" w:cs="Times New Roman"/>
          <w:b/>
          <w:lang w:val="uk-UA"/>
        </w:rPr>
        <w:t>Визначення показників результативності</w:t>
      </w:r>
      <w:r>
        <w:rPr>
          <w:rFonts w:ascii="Times New Roman" w:hAnsi="Times New Roman" w:cs="Times New Roman"/>
          <w:b/>
          <w:lang w:val="uk-UA"/>
        </w:rPr>
        <w:t xml:space="preserve"> дії</w:t>
      </w:r>
      <w:r w:rsidRPr="002776AC">
        <w:rPr>
          <w:rFonts w:ascii="Times New Roman" w:hAnsi="Times New Roman" w:cs="Times New Roman"/>
          <w:b/>
          <w:lang w:val="uk-UA"/>
        </w:rPr>
        <w:t xml:space="preserve"> регуляторного </w:t>
      </w:r>
      <w:proofErr w:type="spellStart"/>
      <w:r w:rsidRPr="002776AC">
        <w:rPr>
          <w:rFonts w:ascii="Times New Roman" w:hAnsi="Times New Roman" w:cs="Times New Roman"/>
          <w:b/>
          <w:lang w:val="uk-UA"/>
        </w:rPr>
        <w:t>акта</w:t>
      </w:r>
      <w:proofErr w:type="spellEnd"/>
    </w:p>
    <w:p w:rsidR="002800D3" w:rsidRPr="00EB06D3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6D3">
        <w:rPr>
          <w:rFonts w:ascii="Times New Roman" w:hAnsi="Times New Roman" w:cs="Times New Roman"/>
          <w:sz w:val="24"/>
          <w:szCs w:val="24"/>
          <w:lang w:val="uk-UA"/>
        </w:rPr>
        <w:t xml:space="preserve">Головними показниками результативності дії запропонованого регуляторного </w:t>
      </w:r>
      <w:proofErr w:type="spellStart"/>
      <w:r w:rsidRPr="00EB06D3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EB06D3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:rsidR="002800D3" w:rsidRPr="00EB06D3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6D3">
        <w:rPr>
          <w:rFonts w:ascii="Times New Roman" w:hAnsi="Times New Roman" w:cs="Times New Roman"/>
          <w:sz w:val="24"/>
          <w:szCs w:val="24"/>
          <w:lang w:val="uk-UA"/>
        </w:rPr>
        <w:t>- обсяг надходжень коштів до місцевого бюджету від сплати за землю при практичному застосуванні нормативної грошової оцінки земель.</w:t>
      </w:r>
    </w:p>
    <w:p w:rsidR="002800D3" w:rsidRPr="00EB06D3" w:rsidRDefault="002800D3" w:rsidP="002800D3">
      <w:pPr>
        <w:pStyle w:val="a3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6D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розмір надходження  коштів на </w:t>
      </w:r>
      <w:r w:rsidRPr="00EB06D3">
        <w:rPr>
          <w:rFonts w:ascii="Times New Roman" w:hAnsi="Times New Roman" w:cs="Times New Roman"/>
          <w:sz w:val="24"/>
          <w:szCs w:val="24"/>
          <w:lang w:val="uk-UA"/>
        </w:rPr>
        <w:t>фінансування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B06D3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 - економічного розвитку територіальної громади.</w:t>
      </w:r>
    </w:p>
    <w:p w:rsidR="002800D3" w:rsidRPr="00EB06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Поінформованість суб’єкта господарювання </w:t>
      </w:r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громадськості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основними положеннями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2800D3" w:rsidRPr="00EB06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громадсько-політична газета</w:t>
      </w:r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>Широківського</w:t>
      </w:r>
      <w:proofErr w:type="spellEnd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району Дніпропетровської області «Вісник»;</w:t>
      </w:r>
    </w:p>
    <w:p w:rsidR="002800D3" w:rsidRPr="00EB06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Офіційна веб-сторінка </w:t>
      </w:r>
      <w:proofErr w:type="spellStart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>Широківського</w:t>
      </w:r>
      <w:proofErr w:type="spellEnd"/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району Дніпропетровської області. В мережі Інтернет, підрозділ «Регуляторна політика» </w:t>
      </w:r>
      <w:r w:rsidRPr="00EB06D3">
        <w:rPr>
          <w:sz w:val="24"/>
          <w:szCs w:val="24"/>
          <w:lang w:val="uk-UA"/>
        </w:rPr>
        <w:t xml:space="preserve"> </w:t>
      </w:r>
      <w:r w:rsidRPr="00EB06D3">
        <w:rPr>
          <w:rFonts w:ascii="Times New Roman" w:eastAsia="Times New Roman" w:hAnsi="Times New Roman" w:cs="Times New Roman"/>
          <w:sz w:val="24"/>
          <w:szCs w:val="24"/>
          <w:lang w:val="uk-UA"/>
        </w:rPr>
        <w:t>https://karpivka.otg.dp.gov.ua/ua</w:t>
      </w:r>
    </w:p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00D3" w:rsidRPr="00627AD8" w:rsidRDefault="002800D3" w:rsidP="002800D3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27A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27A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акта</w:t>
      </w:r>
      <w:proofErr w:type="spellEnd"/>
      <w:r w:rsidRPr="00627A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2800D3" w:rsidRPr="00906B61" w:rsidRDefault="002800D3" w:rsidP="002800D3">
      <w:pPr>
        <w:widowControl w:val="0"/>
        <w:tabs>
          <w:tab w:val="left" w:pos="851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7AD8">
        <w:rPr>
          <w:rFonts w:ascii="Times New Roman" w:eastAsia="Times New Roman" w:hAnsi="Times New Roman" w:cs="Times New Roman"/>
          <w:sz w:val="24"/>
          <w:szCs w:val="24"/>
          <w:lang w:val="uk-UA"/>
        </w:rPr>
        <w:t>Оцінка ефективності регуляторного акту буде здійснена за допомогою проведення базового відстеження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800D3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DC1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Базове відстеження результативності дії рішення буде здійснено з дня </w:t>
      </w:r>
      <w:r w:rsidRPr="00DC1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набрання чинності більшістю його положень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18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Повторне відстеження планується провести через рік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набрання чинності регуляторного акту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Періодичні відстеження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результативності регуляторного акту буде здійснюватися 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кожні три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роки, починаю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з дня закінчення заходів з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повторного відстеження результативності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цього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 виявлення неврегульованих та проблемних питань, вони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будуть усуненні шляхом внесення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відповідних змін до регуляторного </w:t>
      </w:r>
      <w:proofErr w:type="spellStart"/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Аналіз регуляторного </w:t>
      </w:r>
      <w:proofErr w:type="spellStart"/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розроблено на виконання вимог статті 8 Закону України «Про засади державної регулярної політики у сфері господарської діяльності».</w:t>
      </w:r>
    </w:p>
    <w:p w:rsidR="002800D3" w:rsidRPr="002E6E0A" w:rsidRDefault="002800D3" w:rsidP="002800D3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E6E0A">
        <w:rPr>
          <w:rFonts w:ascii="Times New Roman" w:hAnsi="Times New Roman" w:cs="Times New Roman"/>
          <w:sz w:val="24"/>
          <w:szCs w:val="24"/>
        </w:rPr>
        <w:lastRenderedPageBreak/>
        <w:t>Зауваження</w:t>
      </w:r>
      <w:proofErr w:type="spellEnd"/>
      <w:r w:rsidRPr="002E6E0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E6E0A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2E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sz w:val="24"/>
          <w:szCs w:val="24"/>
        </w:rPr>
        <w:t>направляти</w:t>
      </w:r>
      <w:proofErr w:type="spellEnd"/>
      <w:r w:rsidRPr="002E6E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6E0A">
        <w:rPr>
          <w:rFonts w:ascii="Times New Roman" w:hAnsi="Times New Roman" w:cs="Times New Roman"/>
          <w:sz w:val="24"/>
          <w:szCs w:val="24"/>
        </w:rPr>
        <w:t>письмовому</w:t>
      </w:r>
      <w:proofErr w:type="spellEnd"/>
      <w:r w:rsidRPr="002E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E0A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2E6E0A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Pr="002E6E0A">
        <w:rPr>
          <w:rFonts w:ascii="Times New Roman" w:hAnsi="Times New Roman" w:cs="Times New Roman"/>
          <w:sz w:val="24"/>
          <w:szCs w:val="24"/>
          <w:lang w:val="uk-UA"/>
        </w:rPr>
        <w:t>Широківського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району Дніпропетровської області, поштова адреса: </w:t>
      </w:r>
      <w:proofErr w:type="gramStart"/>
      <w:r w:rsidRPr="002E6E0A">
        <w:rPr>
          <w:rFonts w:ascii="Times New Roman" w:hAnsi="Times New Roman" w:cs="Times New Roman"/>
          <w:sz w:val="24"/>
          <w:szCs w:val="24"/>
          <w:lang w:val="uk-UA"/>
        </w:rPr>
        <w:t>вул..</w:t>
      </w:r>
      <w:proofErr w:type="gram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Центральна 97-А , с. </w:t>
      </w:r>
      <w:proofErr w:type="spellStart"/>
      <w:r w:rsidRPr="002E6E0A">
        <w:rPr>
          <w:rFonts w:ascii="Times New Roman" w:hAnsi="Times New Roman" w:cs="Times New Roman"/>
          <w:sz w:val="24"/>
          <w:szCs w:val="24"/>
          <w:lang w:val="uk-UA"/>
        </w:rPr>
        <w:t>Карпівка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E6E0A">
        <w:rPr>
          <w:rFonts w:ascii="Times New Roman" w:hAnsi="Times New Roman" w:cs="Times New Roman"/>
          <w:sz w:val="24"/>
          <w:szCs w:val="24"/>
          <w:lang w:val="uk-UA"/>
        </w:rPr>
        <w:t>Широківський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області, індекс 53742, до відділу земельних відносин, екології, архітектури, ЖКГ та комунальної власності, </w:t>
      </w:r>
      <w:proofErr w:type="spellStart"/>
      <w:r w:rsidRPr="002E6E0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E6E0A">
        <w:rPr>
          <w:rFonts w:ascii="Times New Roman" w:hAnsi="Times New Roman" w:cs="Times New Roman"/>
          <w:sz w:val="24"/>
          <w:szCs w:val="24"/>
          <w:lang w:val="uk-UA"/>
        </w:rPr>
        <w:t>.. 0687107054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електрона адреса: </w:t>
      </w:r>
      <w:r w:rsidRPr="002E6E0A">
        <w:rPr>
          <w:rFonts w:ascii="Times New Roman" w:hAnsi="Times New Roman" w:cs="Times New Roman"/>
          <w:lang w:val="uk-UA"/>
        </w:rPr>
        <w:t xml:space="preserve"> </w:t>
      </w:r>
      <w:hyperlink r:id="rId16" w:anchor="sendmsg/f=to=EuiW9NCbt2sRE2FbtGi50pJwFP7wFhVhn_8M" w:history="1">
        <w:r w:rsidRPr="002E6E0A">
          <w:rPr>
            <w:rStyle w:val="a6"/>
            <w:rFonts w:ascii="Times New Roman" w:hAnsi="Times New Roman" w:cs="Times New Roman"/>
            <w:bCs/>
            <w:color w:val="4D4D4D"/>
            <w:u w:val="single"/>
            <w:shd w:val="clear" w:color="auto" w:fill="FFFFFF"/>
          </w:rPr>
          <w:t>info@karpivka.otg.dp.gov.ua</w:t>
        </w:r>
      </w:hyperlink>
      <w:r>
        <w:rPr>
          <w:rFonts w:ascii="Times New Roman" w:hAnsi="Times New Roman" w:cs="Times New Roman"/>
          <w:u w:val="single"/>
          <w:lang w:val="uk-UA"/>
        </w:rPr>
        <w:t>.</w:t>
      </w:r>
      <w:r w:rsidRPr="002E6E0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E6E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B20FF" w:rsidRDefault="007B20FF">
      <w:bookmarkStart w:id="5" w:name="_GoBack"/>
      <w:bookmarkEnd w:id="5"/>
    </w:p>
    <w:sectPr w:rsidR="007B2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6BA"/>
    <w:multiLevelType w:val="hybridMultilevel"/>
    <w:tmpl w:val="BEA2EC34"/>
    <w:lvl w:ilvl="0" w:tplc="9BDA91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15DA"/>
    <w:multiLevelType w:val="hybridMultilevel"/>
    <w:tmpl w:val="160A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6E76"/>
    <w:multiLevelType w:val="hybridMultilevel"/>
    <w:tmpl w:val="D426554C"/>
    <w:lvl w:ilvl="0" w:tplc="1D14D1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2D29"/>
    <w:multiLevelType w:val="hybridMultilevel"/>
    <w:tmpl w:val="86389E0E"/>
    <w:lvl w:ilvl="0" w:tplc="162272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3"/>
    <w:rsid w:val="002800D3"/>
    <w:rsid w:val="007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1BEB-DB08-41AD-9DD6-03926FB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0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00D3"/>
    <w:pPr>
      <w:ind w:left="720"/>
      <w:contextualSpacing/>
    </w:pPr>
  </w:style>
  <w:style w:type="paragraph" w:styleId="a4">
    <w:name w:val="No Spacing"/>
    <w:uiPriority w:val="1"/>
    <w:qFormat/>
    <w:rsid w:val="002800D3"/>
    <w:pPr>
      <w:spacing w:after="0" w:line="240" w:lineRule="auto"/>
    </w:pPr>
    <w:rPr>
      <w:lang w:val="ru-RU"/>
    </w:rPr>
  </w:style>
  <w:style w:type="character" w:customStyle="1" w:styleId="rvts23">
    <w:name w:val="rvts23"/>
    <w:basedOn w:val="a0"/>
    <w:rsid w:val="002800D3"/>
  </w:style>
  <w:style w:type="character" w:customStyle="1" w:styleId="rvts9">
    <w:name w:val="rvts9"/>
    <w:basedOn w:val="a0"/>
    <w:rsid w:val="002800D3"/>
  </w:style>
  <w:style w:type="table" w:styleId="a5">
    <w:name w:val="Table Grid"/>
    <w:basedOn w:val="a1"/>
    <w:uiPriority w:val="39"/>
    <w:rsid w:val="002800D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280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51151.html" TargetMode="External"/><Relationship Id="rId13" Type="http://schemas.openxmlformats.org/officeDocument/2006/relationships/hyperlink" Target="http://search.ligazakon.ua/l_doc2.nsf/link1/KP15115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51151.html" TargetMode="External"/><Relationship Id="rId12" Type="http://schemas.openxmlformats.org/officeDocument/2006/relationships/hyperlink" Target="http://search.ligazakon.ua/l_doc2.nsf/link1/KP15115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.ukr.net/deskt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51151.html" TargetMode="External"/><Relationship Id="rId11" Type="http://schemas.openxmlformats.org/officeDocument/2006/relationships/hyperlink" Target="http://search.ligazakon.ua/l_doc2.nsf/link1/KP151151.html" TargetMode="External"/><Relationship Id="rId5" Type="http://schemas.openxmlformats.org/officeDocument/2006/relationships/hyperlink" Target="http://search.ligazakon.ua/l_doc2.nsf/link1/KP151151.html" TargetMode="External"/><Relationship Id="rId15" Type="http://schemas.openxmlformats.org/officeDocument/2006/relationships/hyperlink" Target="http://search.ligazakon.ua/l_doc2.nsf/link1/KP151151.html" TargetMode="External"/><Relationship Id="rId10" Type="http://schemas.openxmlformats.org/officeDocument/2006/relationships/hyperlink" Target="http://search.ligazakon.ua/l_doc2.nsf/link1/KP1511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51151.html" TargetMode="External"/><Relationship Id="rId14" Type="http://schemas.openxmlformats.org/officeDocument/2006/relationships/hyperlink" Target="http://search.ligazakon.ua/l_doc2.nsf/link1/KP15115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10702</Words>
  <Characters>6101</Characters>
  <Application>Microsoft Office Word</Application>
  <DocSecurity>0</DocSecurity>
  <Lines>50</Lines>
  <Paragraphs>33</Paragraphs>
  <ScaleCrop>false</ScaleCrop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Клименко</dc:creator>
  <cp:keywords/>
  <dc:description/>
  <cp:lastModifiedBy>Ольга Клименко</cp:lastModifiedBy>
  <cp:revision>1</cp:revision>
  <dcterms:created xsi:type="dcterms:W3CDTF">2020-06-03T08:52:00Z</dcterms:created>
  <dcterms:modified xsi:type="dcterms:W3CDTF">2020-06-03T08:53:00Z</dcterms:modified>
</cp:coreProperties>
</file>